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4.jpeg" ContentType="image/jpeg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jpeg" ContentType="image/jpeg"/>
  <Override PartName="/word/media/image11.jpeg" ContentType="image/jpeg"/>
  <Override PartName="/word/media/image7.jpeg" ContentType="image/jpeg"/>
  <Override PartName="/word/media/image13.png" ContentType="image/png"/>
  <Override PartName="/word/media/image12.jpeg" ContentType="image/jpeg"/>
  <Override PartName="/word/media/image10.jpeg" ContentType="image/jpeg"/>
  <Override PartName="/word/media/image8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ГРАБЛИ КОЛЕСНО-ПАЛЬЦЕВЫЕ</w:t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ГРЛ-9,6 ГРЛ-9,6-01, ГРЛ-10,6 , ГРЛ-11,7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Руководство по эксплуатации</w:t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tbl>
      <w:tblPr>
        <w:tblW w:w="9572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6"/>
        <w:gridCol w:w="1525"/>
      </w:tblGrid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tabs>
                <w:tab w:val="clear" w:pos="720"/>
              </w:tabs>
              <w:bidi w:val="0"/>
              <w:spacing w:before="0" w:after="200"/>
              <w:ind w:left="0" w:right="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Общие сведения…………………………………………………………………..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3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 Устройство и работа изделия………………………………………………….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3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2 Технические характеристики граблей……………………….………………..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9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3 Требования безопасности……………………………………………………...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4 Подготовка к работе и порядок работы………………………........................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11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5 Транспортировка………………………………….............................................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6 Работа граблей на загоне………………………………………………………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7 Техническое обслуживание………………………………….………………...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15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8 Возможные неисправности</w:t>
            </w:r>
          </w:p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и способы их устранения…...………………………………….………………...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16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9 Правила хранения………………………………………………........................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17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10 Комплектность………………………………………………………………...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18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11 Свидетельство о приемке………………………………………....................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19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12 Гарантии изготовителя………………………………………….....................</w:t>
            </w:r>
          </w:p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13Утилизация…………………………………………………………………….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20</w:t>
            </w:r>
          </w:p>
          <w:p>
            <w:pPr>
              <w:pStyle w:val="Normal"/>
              <w:widowControl w:val="false"/>
              <w:bidi w:val="0"/>
              <w:spacing w:lineRule="auto" w:line="276" w:before="0" w:after="200"/>
              <w:ind w:left="0" w:right="0" w:hanging="0"/>
              <w:jc w:val="left"/>
              <w:rPr/>
            </w:pPr>
            <w:r>
              <w:rPr>
                <w:sz w:val="24"/>
                <w:szCs w:val="24"/>
              </w:rPr>
              <w:t>20</w:t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Приложения: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046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А. Таблица и система смазки……………………………………………………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Б. Гарантийный талон……………………………………………………………</w:t>
            </w:r>
          </w:p>
          <w:p>
            <w:pPr>
              <w:pStyle w:val="Normal"/>
              <w:widowControl w:val="false"/>
              <w:bidi w:val="0"/>
              <w:spacing w:lineRule="auto" w:line="276" w:before="0" w:after="20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 Отметка об изучении инструкции по эксплуатации………………………..         </w:t>
            </w:r>
          </w:p>
        </w:tc>
        <w:tc>
          <w:tcPr>
            <w:tcW w:w="1525" w:type="dxa"/>
            <w:tcBorders/>
          </w:tcPr>
          <w:p>
            <w:pPr>
              <w:pStyle w:val="1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21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left"/>
              <w:rPr/>
            </w:pPr>
            <w:r>
              <w:rPr>
                <w:sz w:val="24"/>
                <w:szCs w:val="24"/>
              </w:rPr>
              <w:t>23</w:t>
            </w:r>
          </w:p>
          <w:p>
            <w:pPr>
              <w:pStyle w:val="Normal"/>
              <w:widowControl w:val="false"/>
              <w:bidi w:val="0"/>
              <w:spacing w:before="0" w:after="200"/>
              <w:ind w:left="0" w:right="0" w:hanging="0"/>
              <w:jc w:val="left"/>
              <w:rPr/>
            </w:pPr>
            <w:r>
              <w:rPr>
                <w:sz w:val="24"/>
                <w:szCs w:val="24"/>
              </w:rPr>
              <w:t>24</w:t>
            </w:r>
          </w:p>
        </w:tc>
      </w:tr>
    </w:tbl>
    <w:p>
      <w:pPr>
        <w:pStyle w:val="Normal"/>
        <w:widowControl w:val="false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ОБЩИЕ СВЕДЕНИЯ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20"/>
        <w:bidi w:val="0"/>
        <w:ind w:left="0" w:right="0" w:firstLine="720"/>
        <w:rPr/>
      </w:pPr>
      <w:r>
        <w:rPr>
          <w:sz w:val="24"/>
          <w:szCs w:val="24"/>
        </w:rPr>
        <w:t>Грабли колесно-пальцевые ГРЛ-9,6 ГРЛ-9,6-01, ГРЛ-10,6 , ГРЛ-11,7.</w:t>
      </w:r>
    </w:p>
    <w:p>
      <w:pPr>
        <w:pStyle w:val="Style20"/>
        <w:bidi w:val="0"/>
        <w:ind w:left="0" w:right="0" w:firstLine="720"/>
        <w:rPr/>
      </w:pPr>
      <w:r>
        <w:rPr>
          <w:sz w:val="24"/>
          <w:szCs w:val="24"/>
        </w:rPr>
        <w:t>Заводской №___________________</w:t>
      </w:r>
    </w:p>
    <w:p>
      <w:pPr>
        <w:pStyle w:val="Style20"/>
        <w:bidi w:val="0"/>
        <w:ind w:left="0" w:right="0" w:firstLine="720"/>
        <w:rPr/>
      </w:pPr>
      <w:r>
        <w:rPr>
          <w:sz w:val="24"/>
          <w:szCs w:val="24"/>
        </w:rPr>
        <w:t>Год выпуска___________________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Руководство по эксплуатации знакомит с устройством, регулировками и особенностями эксплуатации колесно-пальцевых граблей ГРЛ-9,6 ГРЛ-9,6-01, ГРЛ-10,6 , ГРЛ-11,7. 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В руководстве приведены практические рекомендации по подготовке машины к работе, работе с ней, правилам технического обслуживания и безопасным методам работы.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Грабли колесно-пальцевые используются для уборки сеяных трав, а так же трав естественных сенокосов урожайностью свыше 1 т/га на равнинах при влажности массы от 20 до 60% на выровненных полях и склонах крутизной до 8°, не имеющих глубоких борозд, рвов. Поле должно быть выровнено, микрорельеф должен составлять 2-3 см.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Грабли агрегатируются с колесными тракторами класса 1,4 - 2,0 т. с. 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ВНИМАНИЕ: В связи с систематически проводимыми работами по усовершенствовании конструкции и технологии изготовления граблей возможны некоторые    расхождения между руководством и поставляемыми граблями, не влияющие на условия его эксплуатации.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numPr>
          <w:ilvl w:val="0"/>
          <w:numId w:val="1"/>
        </w:numPr>
        <w:bidi w:val="0"/>
        <w:spacing w:before="0" w:after="0"/>
        <w:ind w:left="1080" w:right="0" w:hanging="360"/>
        <w:jc w:val="both"/>
        <w:rPr/>
      </w:pPr>
      <w:r>
        <w:rPr>
          <w:rFonts w:ascii="Times New Roman" w:hAnsi="Times New Roman"/>
          <w:b/>
          <w:sz w:val="24"/>
          <w:szCs w:val="24"/>
        </w:rPr>
        <w:t>УСТРОЙСТВО И РАБОТА ИЗДЕЛИЯ</w:t>
      </w:r>
    </w:p>
    <w:p>
      <w:pPr>
        <w:pStyle w:val="Normal"/>
        <w:bidi w:val="0"/>
        <w:spacing w:before="0" w:after="0"/>
        <w:ind w:left="108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Общий вид граблей ГРЛ-9,6, ГРЛ-9,6-01, ГРЛ-10,6 , ГРЛ-11,7 представлен на рис. 1.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4638040" cy="260477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Рис. 1. Грабли колесно-пальцевые ГРЛ-11,7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1 – ход колесный; 2 - заднее опорное колесо; 3 – крыло правое; 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4, 5, 6 - самоустанавливающиеся колеса; 7, 8, 9 - пальцевые колеса; 10 - подъемная направляющая; 11 – рама центральная; 12 - механизм раскладывания; 13 - стояночная стойка; 14 – транспортировочная петля.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1.1 Грабли колесно-пальцевые ГРЛ-9,6, ГРЛ-9,6-01 ГРЛ-10,6, ГРЛ-11,7 состоят из следующих основных частей: хода колесного 1 (рис. 1), опорных колес 2, 4, 5, 6, пальцевых колес 7, 8, 9, подъемных направляющих 10, рамы центральной 11, механизма раскладывания 12, стояночной стойки 13 и транспортировочной петли 14.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1.2. Ход колесный состоит из поперечины 1 (рис. 2), к которой крепятся цапфы 2 и 3. На цапфах с помощью ступиц установлены опорные колеса 4 (показано только левое). Так же колесный ход оборудован пневматической тормозной системой (кроме граблей ГРЛ-9,6-01). 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5890895" cy="519049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2. Механизмы колесного хода, центральной рамы и боковых крыльев граблей ГРЛ-9,6, ГРЛ-9,6-01, ГРЛ-10,6, ГРЛ-11,7 (левая сторона)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1.3. Центральная рама крепиться к колесному ходу с помощью фланцевого соединения. Она состоит из рамы задней 11, рамы ломанной 7, рамы внутренней 6, сницы 8 с опорным самоустанавливающимся колесом 9 (ГРЛ-10,6, ГРЛ-11,7) или сницы 10 без опорного колеса (ГРЛ-9,6, ГРЛ-9,6-01) и опорной стойкой 25.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1.4. Крылья присоединяются к цапфам 2, 3 с помощью крестовин 5 (показана левое крыло). Крылья граблей шарнирно-сочлененные состоят из 4-х балок 13-16. Балки 14 и 15 соединены между собой с помощью шарнира 17. В центре и передней части крылья установлены на специальных кронштейнах самоустанавливающиеся колеса 18 и 19. За счет крестовины 5 и шарнира 17 боковые крылья имеют возможность двигаться относительно хода колесного как в вертикальной так и в горизонтальной плоскостях, что позволяет копировать рельеф поля. С внутренней стороны крыльев закреплены раскосы 20.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1.5. Механизм раскладывания предназначен для перевода (раскладывания) крыльев из транспортного положения в рабочее и обратно. Механизм состоит из рамы ломанной 7, рамы внутренней 6, ползуна 21, тяги 22 с шаровыми наконечниками, параллелограммной подвески 23 и гидроцилиндра 24. Тяги 22 шарнирно соединены одним наконечником с кронштейном на подвижной раме ломанной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7, а другим наконечником с раскосом 20. В свою очередь параллелограммная подвеска 23 соединена с кронштейнами на ползуне 21 и тем же раскосом 20. Вилка корпуса гидроцилиндра 24 закреплена на кронштейне нижней грани неподвижной рамы внутренней 6, а вилка его штока соединена с кронштейном на ползуне 21.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1.6. На поворотных осях самоустанавливающихся колес 9, 18, 19 смонтированы успокоители, которые предназначены для стабилизации хода колес во время движения. Успокоители состоят из тормозного диска 1 (рис. 3,а), колодок 2 и 3, пружины 4 с регулировочным болтом 5 и гайкой 6. Для фиксации самоустанавливающегося колеса    применяется стояночный башмак 1 (рис. 3,б).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sectPr>
          <w:footerReference w:type="default" r:id="rId4"/>
          <w:type w:val="nextPage"/>
          <w:pgSz w:w="11906" w:h="16838"/>
          <w:pgMar w:left="1700" w:right="850" w:gutter="0" w:header="0" w:top="1135" w:footer="283" w:bottom="709"/>
          <w:pgNumType w:fmt="decimal"/>
          <w:formProt w:val="false"/>
          <w:textDirection w:val="lrTb"/>
        </w:sectPr>
      </w:pP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                    </w:t>
      </w:r>
      <w:r>
        <w:rPr/>
        <w:drawing>
          <wp:inline distT="0" distB="0" distL="0" distR="0">
            <wp:extent cx="1376045" cy="195707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ab/>
        <w:tab/>
        <w:tab/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)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/>
        <w:drawing>
          <wp:inline distT="0" distB="0" distL="0" distR="0">
            <wp:extent cx="2324100" cy="168592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б)</w:t>
      </w:r>
    </w:p>
    <w:p>
      <w:pPr>
        <w:sectPr>
          <w:type w:val="continuous"/>
          <w:pgSz w:w="11906" w:h="16838"/>
          <w:pgMar w:left="1700" w:right="850" w:gutter="0" w:header="0" w:top="1135" w:footer="283" w:bottom="709"/>
          <w:cols w:num="2" w:space="720" w:equalWidth="true" w:sep="false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bidi w:val="0"/>
        <w:spacing w:lineRule="auto" w:line="276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3. Самоустанавливающееся колесо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1.7. На нижних гранях крыльев 1 приварены втулки 2 (рис. 4), в которых установлены рычаги 3 на нейлоновых втулках. На ступицах 4 рычагов крепятся пальцевые колеса 5 (показано левостороннее колесо). Через проушины 6 на верхних гранях крыльев продета подъемная направляющая 7. Для обеспечения заданного давления на почву и копирования рельефа поля пальцевые колеса имеют поддерживающую пружину 8, которая соединена с подъемной направляющей 7. Для фиксации пальцевого колеса относительно подъемной трубы служит страховочная цепь 9.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2610485" cy="192024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276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4. Пальцевое колесо</w:t>
      </w:r>
    </w:p>
    <w:p>
      <w:pPr>
        <w:sectPr>
          <w:type w:val="continuous"/>
          <w:pgSz w:w="11906" w:h="16838"/>
          <w:pgMar w:left="1700" w:right="850" w:gutter="0" w:header="0" w:top="1135" w:footer="283" w:bottom="709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bidi w:val="0"/>
        <w:spacing w:before="0" w:after="0"/>
        <w:ind w:left="-567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2198370" cy="200152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29230" cy="184404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left="1700" w:right="850" w:gutter="0" w:header="0" w:top="1135" w:footer="283" w:bottom="709"/>
          <w:cols w:num="2" w:space="720" w:equalWidth="true" w:sep="false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mc:AlternateContent>
          <mc:Choice Requires="wps">
            <w:drawing>
              <wp:anchor behindDoc="0" distT="72390" distB="72390" distL="72390" distR="72390" simplePos="0" locked="0" layoutInCell="0" allowOverlap="1" relativeHeight="2">
                <wp:simplePos x="0" y="0"/>
                <wp:positionH relativeFrom="column">
                  <wp:posOffset>5080</wp:posOffset>
                </wp:positionH>
                <wp:positionV relativeFrom="paragraph">
                  <wp:posOffset>49530</wp:posOffset>
                </wp:positionV>
                <wp:extent cx="2762885" cy="326390"/>
                <wp:effectExtent l="0" t="0" r="0" b="0"/>
                <wp:wrapNone/>
                <wp:docPr id="8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885" cy="3263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bidi w:val="0"/>
                              <w:spacing w:lineRule="auto" w:line="276" w:before="0" w:after="200"/>
                              <w:ind w:left="0" w:right="0" w:hanging="0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5. Подъемный гидроцилиндр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FFFFFF" strokeweight="0pt" style="position:absolute;rotation:-0;width:217.55pt;height:25.7pt;mso-wrap-distance-left:5.7pt;mso-wrap-distance-right:5.7pt;mso-wrap-distance-top:5.7pt;mso-wrap-distance-bottom:5.7pt;margin-top:3.9pt;mso-position-vertical-relative:text;margin-left:0.4pt;mso-position-horizontal-relative:text">
                <v:textbox>
                  <w:txbxContent>
                    <w:p>
                      <w:pPr>
                        <w:pStyle w:val="Normal"/>
                        <w:bidi w:val="0"/>
                        <w:spacing w:lineRule="auto" w:line="276" w:before="0" w:after="200"/>
                        <w:ind w:left="0" w:right="0" w:hanging="0"/>
                        <w:rPr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5. Подъемный гидроцилиндр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72390" distB="72390" distL="72390" distR="72390" simplePos="0" locked="0" layoutInCell="0" allowOverlap="1" relativeHeight="3">
                <wp:simplePos x="0" y="0"/>
                <wp:positionH relativeFrom="column">
                  <wp:posOffset>2674620</wp:posOffset>
                </wp:positionH>
                <wp:positionV relativeFrom="paragraph">
                  <wp:posOffset>49530</wp:posOffset>
                </wp:positionV>
                <wp:extent cx="3326130" cy="661035"/>
                <wp:effectExtent l="0" t="0" r="0" b="0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661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bidi w:val="0"/>
                              <w:spacing w:lineRule="auto" w:line="276" w:before="0" w:after="20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6. Механизм регулировки давления пальцевых колес на почву и механизм подвески задних пальцевых колес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61.9pt;height:52.05pt;mso-wrap-distance-left:5.7pt;mso-wrap-distance-right:5.7pt;mso-wrap-distance-top:5.7pt;mso-wrap-distance-bottom:5.7pt;margin-top:3.9pt;mso-position-vertical-relative:text;margin-left:210.6pt;mso-position-horizontal-relative:text">
                <v:textbox>
                  <w:txbxContent>
                    <w:p>
                      <w:pPr>
                        <w:pStyle w:val="Normal"/>
                        <w:bidi w:val="0"/>
                        <w:spacing w:lineRule="auto" w:line="276" w:before="0" w:after="20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6. Механизм регулировки давления пальцевых колес на почву и механизм подвески задних пальцевых колес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1.8. Подъем пальцевых колес из рабочего положения в транспортное осуществляется с помощью гидроцилиндров 1 (рис. 5), которые соединяются вилкой на корпусе с проушинами 2 на боковых крыльях, а вилкой на штоке с проушинами 3 на подъемной направляющей с помощью пальцев 4. Подача масла в рабочую (поршневую) полость гидроцилиндра осуществляется с помощью рукава высокого давления 6.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Возврат пальцевых колес из транспортного положения в рабочее осуществляется за счет давления силы тяжести колес, передающегося через подъемные направляющие, на шток гидроцилиндра.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1.9. Механизмы регулирования давления пальцевых колес на почву устанавливаются в задней части каждого бокового крыла (рис. 6). Механизм состоит из регулировочной рукоятки 1 с винтом, направляющей 2, которая закреплена на подъемной направляющей 3. В верхнюю втулку направляющей 2 вставлен стержень 4 с головкой и двумя отверстиями (А, Б). С помощью штифта 5 стержень фиксируется в двух положениях: «рабочее» - стержень вставлен во втулку полностью (штифт в отверстии А); «транспортное» - стержень выдвинут из трубы (штифт в отверстии Б).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Регулировка давления пальцевых колес на почву осуществляется при вращении рукоятки 1. При вращении рукоятки по часовой стрелке происходит уменьшение давления на почву, против часовой стрелки - увеличение.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1.10. Механизмы задних пальцевых колес предназначены для формирования валков заданной ширины. Механизмы состоят из поворотного кронштейна 6 (показан левый механизм), который шарнирно закреплен на колесном ходу граблей с помощью оси 7, рычага 8 со ступицей 9, пальцевого колеса 10, троса 11, роликов 12 и 13, пружинной растяжки 14, талрепа 15.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Давление, оказываемое на почву задними пальцевыми колесами и расположенными на крыльях колесами должно быть одинаковым. Для этого необходимо выставить задние пальцевые колеса на одном уровне относительно почвы с передними, при помощи петли 16 вкрученной в подъемную направляющую 3 (рис.6). 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Регулировка ширины формируемого валка в пределах 0,9...1,8 м осуществляется при перестановке талрепа 15 по отверстиям и изменением его длины при вращении его резьбовой части. В качестве рычага используется чистик закрепленный на раме граблей.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2992755" cy="1590675"/>
            <wp:effectExtent l="0" t="0" r="0" b="0"/>
            <wp:docPr id="10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7. Страховочная штанга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1.11. Для фиксации боковых рам в транспортном положении грабли комплектуются страховочными штангами 1 (рис. 7), с пальцами 2.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В транспортном положении штанга фиксируется пальцами в петлях на снице 3 и боковой раме 4 граблей.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1.12. Рукава высокого давления гидроцилиндров протянуты на тяговой балке и плечах механизма перевода граблей в транспортное положение через направляющие трубки. К цилиндру перевода боковых рам в транспортное положение подведены два рукава высокого давления, к цилиндрам подъема пальцевых колес подведен один рукав через тройник. К гидросистеме трактора присоединяются три рукава высокого давления.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1.13. Модификации граблей ГРЛ-9,6М, ГРЛ-9,6М-01, ГРЛ-10,6М, ГРЛ-11,7М отличаются от базовых модификаций ГРЛ-9,6, ГРЛ-10,6, ГРЛ-11,7 наличием автоматической системы управления задних опорных колес, которая улучшает маневренность агрегата при работе на мелкоконтурных полях и полях со сложной конфигурацией.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3964940" cy="2895600"/>
            <wp:effectExtent l="0" t="0" r="0" b="0"/>
            <wp:docPr id="11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8. Система автоматического управления задних колес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Система автоматического управления задних колес состоит из рулевого коромысла 1 (рис. 8), поворотных цапф 2, 3, опорных колес 4, 5, поворотных рычагов 6, 7, тяги 8, гидроцилиндров 9, 10. Штоковые полости гидроцилиндров соединены рукавом 11, а поршневые рукавом 12, крана 13, быстроразъемной муфты 14 и заглушки 15.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6126480" cy="1929130"/>
            <wp:effectExtent l="0" t="0" r="0" b="0"/>
            <wp:docPr id="1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9. Комплекты дополнительного оборудования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1.14. По специальному заказу грабли могут комплектоваться дополнительным оборудованием: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- комплект центральных пальцевых колес для граблей ГРЛ-10,6, ГРЛ-11,7 (рис. 9,а), предназначенный для ворошения травяной массы в центральной зоне обрабатываемой полосы, с целью улучшения качества сгребания и последующего подбора валка;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- комплект дополнительных передних самоустанавливающихся опорных колес (рис. 9,б);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- комплект защитных экранов на пальцевые колеса (рис. 9,в), предназначенный для защиты пальцевых колес от забивания, в том числе в условиях ветреной погоды, что способствует повышению рабочей скорости;</w:t>
      </w:r>
    </w:p>
    <w:p>
      <w:pPr>
        <w:sectPr>
          <w:type w:val="continuous"/>
          <w:pgSz w:w="11906" w:h="16838"/>
          <w:pgMar w:left="1700" w:right="850" w:gutter="0" w:header="0" w:top="1135" w:footer="283" w:bottom="709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b/>
          <w:sz w:val="24"/>
          <w:szCs w:val="24"/>
        </w:rPr>
        <w:t>2. ТЕХНИЧЕСКИЕ ХАРАКТЕРИСТИКИ ГРАБЛЕЙ</w:t>
      </w:r>
    </w:p>
    <w:p>
      <w:pPr>
        <w:pStyle w:val="Normal"/>
        <w:bidi w:val="0"/>
        <w:ind w:left="0" w:right="0" w:firstLine="714"/>
        <w:jc w:val="both"/>
        <w:rPr/>
      </w:pPr>
      <w:r>
        <w:rPr>
          <w:rFonts w:ascii="Times New Roman" w:hAnsi="Times New Roman"/>
          <w:spacing w:val="-6"/>
          <w:sz w:val="24"/>
          <w:szCs w:val="24"/>
        </w:rPr>
        <w:t>Основные параметры, показатели назначения граблей и количество обслуживающего персонала приведены в таблице 1.</w:t>
      </w:r>
    </w:p>
    <w:p>
      <w:pPr>
        <w:pStyle w:val="Normal"/>
        <w:bidi w:val="0"/>
        <w:ind w:left="7920" w:right="0" w:hanging="0"/>
        <w:jc w:val="right"/>
        <w:rPr/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498" w:type="dxa"/>
        <w:jc w:val="left"/>
        <w:tblInd w:w="-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1"/>
        <w:gridCol w:w="1280"/>
        <w:gridCol w:w="1275"/>
        <w:gridCol w:w="1276"/>
        <w:gridCol w:w="1276"/>
      </w:tblGrid>
      <w:tr>
        <w:trPr>
          <w:trHeight w:val="325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>
        <w:trPr>
          <w:trHeight w:val="418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 Марка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/>
              <w:t>ГРЛ-9,6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/>
              <w:t>ГРЛ-9,6-01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/>
              <w:t>ГРЛ-10,6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/>
              <w:t>ГРЛ-11,7</w:t>
            </w:r>
          </w:p>
        </w:tc>
      </w:tr>
      <w:tr>
        <w:trPr/>
        <w:tc>
          <w:tcPr>
            <w:tcW w:w="43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 Тип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 Класс агрегатируемого трактора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прицепные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прицепные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прицепные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прицепные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-393" w:right="84" w:firstLine="393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 Ширина захвата конструктивная до, м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 Ширина захвата рабочая до, м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11,7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867" w:leader="none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Рабочая скорость до, км/ч:    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08" w:hanging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7-12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08" w:hanging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08" w:hanging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7-12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08" w:hanging="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7-12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7 Транспортная скорость, км/ч, не более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 Дорожный просвет, мм, не менее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Масса сухая (конструктивная), кг, 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2850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 Количество рабочих колес, шт.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 Диаметр рабочих колес, ±10 см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 Регулировка ширины валка, см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90-180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90-180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90-180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90-180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 Количество обслуживающего персонала, чел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 xml:space="preserve">1(тракторист-машинист) 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 xml:space="preserve">1(тракторист-машинист) 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1(тракторист-машинист)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1(тракторист-машинист)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 Производительность, га/час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        </w:t>
            </w:r>
            <w:r>
              <w:rPr>
                <w:rFonts w:ascii="Times New Roman" w:hAnsi="Times New Roman"/>
                <w:sz w:val="24"/>
                <w:szCs w:val="24"/>
              </w:rPr>
              <w:t>- основного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        </w:t>
            </w:r>
            <w:r>
              <w:rPr>
                <w:rFonts w:ascii="Times New Roman" w:hAnsi="Times New Roman"/>
                <w:sz w:val="24"/>
                <w:szCs w:val="24"/>
              </w:rPr>
              <w:t>- сменного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        </w:t>
            </w:r>
            <w:r>
              <w:rPr>
                <w:rFonts w:ascii="Times New Roman" w:hAnsi="Times New Roman"/>
                <w:sz w:val="24"/>
                <w:szCs w:val="24"/>
              </w:rPr>
              <w:t>- эксплуатационного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5-8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7-9,2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5-6,7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5-5,9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8-13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5-8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8-14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6-10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-113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13 Габаритные размеры, мм, не более: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50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50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509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509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319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 транспортном положении: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679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- длина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12200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12200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13500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14500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679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- ширина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firstLine="679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- высота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</w:t>
            </w:r>
            <w:r>
              <w:rPr>
                <w:rFonts w:ascii="Times New Roman" w:hAnsi="Times New Roman"/>
                <w:sz w:val="24"/>
                <w:szCs w:val="24"/>
              </w:rPr>
              <w:t>в рабочем положении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        </w:t>
            </w:r>
            <w:r>
              <w:rPr>
                <w:rFonts w:ascii="Times New Roman" w:hAnsi="Times New Roman"/>
                <w:sz w:val="24"/>
                <w:szCs w:val="24"/>
              </w:rPr>
              <w:t>- длина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        </w:t>
            </w:r>
            <w:r>
              <w:rPr>
                <w:rFonts w:ascii="Times New Roman" w:hAnsi="Times New Roman"/>
                <w:sz w:val="24"/>
                <w:szCs w:val="24"/>
              </w:rPr>
              <w:t>- ширина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              </w:t>
            </w:r>
            <w:r>
              <w:rPr>
                <w:rFonts w:ascii="Times New Roman" w:hAnsi="Times New Roman"/>
                <w:sz w:val="24"/>
                <w:szCs w:val="24"/>
              </w:rPr>
              <w:t>- высота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8900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11200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8900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11200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9900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12900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10900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14600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 Срок службы, лет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15 Ресурс до списания, ч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16 Коэффициент готовности по оперативному времени, не ниже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17 Давление в шинах, Мпа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18 Удельный расход топлива за основное время работы, кг/га не более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19 Потребляемая мощность двигателя, не более кВт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>
        <w:trPr/>
        <w:tc>
          <w:tcPr>
            <w:tcW w:w="4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20 Максимальная вертикальная статическая нагрузка на сцепную петлю, кг не более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2102" w:leader="none"/>
              </w:tabs>
              <w:bidi w:val="0"/>
              <w:spacing w:lineRule="auto" w:line="276" w:before="0" w:after="0"/>
              <w:ind w:left="0" w:right="19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</w:tr>
    </w:tbl>
    <w:p>
      <w:pPr>
        <w:pStyle w:val="Normal"/>
        <w:widowControl w:val="false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3. ТРЕБОВАНИЯ БЕЗОПАСНОСТИ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ind w:left="0" w:right="0" w:firstLine="567"/>
        <w:jc w:val="both"/>
        <w:rPr/>
      </w:pPr>
      <w:r>
        <w:rPr>
          <w:rFonts w:ascii="Times New Roman" w:hAnsi="Times New Roman"/>
          <w:sz w:val="24"/>
          <w:szCs w:val="24"/>
        </w:rPr>
        <w:t xml:space="preserve">3.1 К работе с агрегатом допускаются лица, имеющие соответствующую квалификацию, изучившие настоящее руководство по эксплуатации и сделавшие отметку об изучении руководства по эксплуатации в таблице. </w:t>
      </w:r>
      <w:r>
        <w:rPr>
          <w:rFonts w:ascii="Times New Roman" w:hAnsi="Times New Roman"/>
          <w:b/>
          <w:sz w:val="24"/>
          <w:szCs w:val="24"/>
        </w:rPr>
        <w:t>В противном случае изделие снимается с гарантии.</w:t>
      </w:r>
    </w:p>
    <w:p>
      <w:pPr>
        <w:pStyle w:val="Normal"/>
        <w:bidi w:val="0"/>
        <w:spacing w:lineRule="auto" w:line="276"/>
        <w:ind w:left="0" w:right="0" w:firstLine="567"/>
        <w:jc w:val="both"/>
        <w:rPr/>
      </w:pPr>
      <w:r>
        <w:rPr>
          <w:rFonts w:ascii="Times New Roman" w:hAnsi="Times New Roman"/>
          <w:sz w:val="24"/>
          <w:szCs w:val="24"/>
        </w:rPr>
        <w:t>Машина снабжена средствами безопасности. Особо опасные места обозначены наклейками с предостерегающими символами. Строгое выполнение требований техники безопасности обеспечивает безопасность работы, повышает надежность и долговечность машины.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3.2 Оператору следует выполнять следующие правила: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перед началом эксплуатации изучить руководство по эксплуатации и рекомендации по технике безопасности;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перед началом работы убедиться в пригодности предохранительных устройств: страховочные цепи 9 (рис. 4) пальцевых колес, стержни 4 (рис. 6), страховочные штанги 1 (рис. 7). При необходимости отремонтировать или заменить поврежденные устройства;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во время работы следить за креплением граблей к трактору;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не приближаться к рабочим органам машины и убедиться в отсутствии людей (особенно детей) рядом с машиной в процессе ее работы;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убедиться в отсутствии людей и животных рядом с машиной в процессе ее работы;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не разворачивать машину, если поблизости находятся люди, принимая во внимание радиус действия машины;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не производить проверку, регулировку, ремонт и техническое обслуживание в процессе работы машины;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не использовать машину не по назначению;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в процессе работы постоянно находиться в кабине трактора;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при использовании граблей в темное время суток необходимо предусмотреть освещение машины и зоны работы;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по окончании работ отсоединить быстроразъемные муфты, расцепить трактор с граблями и установить противооткатные упоры согласно рис 3,б;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при осуществлении технического обслуживания и регулировок, подготовки агрегата к работе заглушить двигатель, заблокировать тормоза, установить грабли в фиксированное транспортное положение и производить обслуживание только при полностью опущенных пальцевых колесах;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- ЗАПРЕЩАЕТСЯ</w:t>
      </w:r>
      <w:r>
        <w:rPr>
          <w:rFonts w:ascii="Times New Roman" w:hAnsi="Times New Roman"/>
          <w:sz w:val="24"/>
          <w:szCs w:val="24"/>
        </w:rPr>
        <w:t xml:space="preserve"> перевозка людей, животных и каких-либо посторонних предметов.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3.3. При прокачивании гидросистемы граблей после замены масла, необходимо опустить на землю подъемник с держателем вильчатого захвата, во избежание несчастных случаев.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3.4. Остальные требования по технике безопасности по ГОСТ 12.2.111-85.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3.5. Транспортная скорость движения агрегата не должна превышать 20 км/ч. Для агрегата ГРЛ-9,6-01 не более 10км/ч.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4. ПОДГАТОВКА К РАБОТЕ И ПОРЯДОК РАБОТЫ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4.1. Общие требования.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Подготовка агрегата к работе включает подготовку трактора, комплектование агрегата, регулировку агрегата на загоне.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4.2. Подготовка трактора.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4.2.1. Установить колеса трактора так, чтобы колея передних и задних коле была 1400-1600 мм.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4.2.2. Установить скобу прицепа (если она не была установлена) и, регулируя раскосы навесного устройства трактора, выровнять ее по горизонтали.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4.2.3. Установить с помощью переходников две охватывающие части быстроразъемных гидромуфт на выходах одной и две охватывающие части быстроразъемных гидромуфт на выходах другой секций гидрораспределителя трактора.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 Соединение граблей с трактором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5892800" cy="5763260"/>
            <wp:effectExtent l="0" t="0" r="0" b="0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Рис. 10 Подготовка к работе автоматической системы управления задних колес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4.3.1. Внешним осмотром проверить комплектность и состояние граблей. Все узлы и детали должны быть надежно закреплены.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4.3.2. Убрав опору 25 (рис. 2), поднять сницу (буксирную петлю) на уровень тяговой скобы трактора. Подать трактор задним ходом к граблям и присоединить грабли к трактору. Закрепить стояночную стойку в транспортном положении.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4.3.2. Соединить рукава высокого давления граблей с выходами гидросистемы трактора с помощью быстроразъемных гидромуфт.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4.3.3. Подключить шланги тормозной системы граблей к выходу пневмосистемы трактора при помощи соединительной головки тормозного шланга (кроме ГРЛ-9,6-01) . 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4.3.4. Растяжками продольных тяг навесной системы трактора отрегулировать соосность граблей и трактора.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4.3.5. Положение навески трактора должно быть таким, чтобы прицепная серьга находилась на высоте 40 см от опорной поверхности.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4.3.6. Удалить консервирующую смазку с гидроцилиндров.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4.3.7. Установить ширину формируемого валка.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Для изменения ширины формируемого валка необходимо ослабить контргайки и, вращая винтовую часть талрепа 15 (рис. 5) добиться требуемой ширины валка. Если этого недостаточно - переставить талреп по соответствующим отверстиям. После регулировки контргайки затянуть.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4.3.8. Регулировка давления на почву пальцевых колес (отдельно для правого и левого крыла) осуществляется вращением рукоятки 1 (рис. 6). Регулировка осуществляется в рабочем положении пальцевых колес, когда стержень 4 вставлен в подъемную трубу (отверстие «А»).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4.3.9. Для регулировки успокоителей колес (рис. 3) необходимо затянуть пружину 4 гайкой 6 на 5 мм от свободного состояния.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4.3.10. Если грабли оборудованы системой автоматического управления задних колес, то перед началом работы необходимо произвести ее прокачку. Для этого производятся следующие операции:</w:t>
      </w:r>
    </w:p>
    <w:p>
      <w:pPr>
        <w:pStyle w:val="Normal"/>
        <w:numPr>
          <w:ilvl w:val="0"/>
          <w:numId w:val="3"/>
        </w:numPr>
        <w:bidi w:val="0"/>
        <w:spacing w:before="0" w:after="0"/>
        <w:ind w:left="1134" w:right="0" w:hanging="425"/>
        <w:jc w:val="both"/>
        <w:rPr/>
      </w:pPr>
      <w:r>
        <w:rPr>
          <w:rFonts w:ascii="Times New Roman" w:hAnsi="Times New Roman"/>
          <w:sz w:val="24"/>
          <w:szCs w:val="24"/>
        </w:rPr>
        <w:t>убедиться, что система герметизирована и правильно собрана (рис. 8);</w:t>
      </w:r>
    </w:p>
    <w:p>
      <w:pPr>
        <w:pStyle w:val="Normal"/>
        <w:numPr>
          <w:ilvl w:val="0"/>
          <w:numId w:val="4"/>
        </w:numPr>
        <w:bidi w:val="0"/>
        <w:spacing w:before="0" w:after="0"/>
        <w:ind w:left="1134" w:right="0" w:hanging="425"/>
        <w:jc w:val="both"/>
        <w:rPr/>
      </w:pPr>
      <w:r>
        <w:rPr>
          <w:rFonts w:ascii="Times New Roman" w:hAnsi="Times New Roman"/>
          <w:sz w:val="24"/>
          <w:szCs w:val="24"/>
        </w:rPr>
        <w:t>застопорить управляемые колеса пальцами 1 (рис 10, а);</w:t>
      </w:r>
    </w:p>
    <w:p>
      <w:pPr>
        <w:pStyle w:val="Normal"/>
        <w:numPr>
          <w:ilvl w:val="0"/>
          <w:numId w:val="5"/>
        </w:numPr>
        <w:bidi w:val="0"/>
        <w:spacing w:before="0" w:after="0"/>
        <w:ind w:left="1134" w:right="0" w:hanging="425"/>
        <w:jc w:val="both"/>
        <w:rPr/>
      </w:pPr>
      <w:r>
        <w:rPr>
          <w:rFonts w:ascii="Times New Roman" w:hAnsi="Times New Roman"/>
          <w:sz w:val="24"/>
          <w:szCs w:val="24"/>
        </w:rPr>
        <w:t>установить трактор относительно граблей таким образом, чтобы рулевая штанга была перпендикулярна продольной оси граблей (рис. 10,б);</w:t>
      </w:r>
    </w:p>
    <w:p>
      <w:pPr>
        <w:pStyle w:val="Normal"/>
        <w:numPr>
          <w:ilvl w:val="0"/>
          <w:numId w:val="6"/>
        </w:numPr>
        <w:bidi w:val="0"/>
        <w:spacing w:before="0" w:after="0"/>
        <w:ind w:left="1134" w:right="0" w:hanging="425"/>
        <w:jc w:val="both"/>
        <w:rPr/>
      </w:pPr>
      <w:r>
        <w:rPr>
          <w:rFonts w:ascii="Times New Roman" w:hAnsi="Times New Roman"/>
          <w:sz w:val="24"/>
          <w:szCs w:val="24"/>
        </w:rPr>
        <w:t>присоединить рукав прокачки 1 (рис 10,в) от трактора с помощью быстроразъемной муфты к переднему гидроцилиндру (использовать любой РВД от трактора, ранее соединенный с гидросистемой граблей) и открыть заглушку 2, чтобы заполнить систему маслом и удалить из нее воздух;</w:t>
      </w:r>
    </w:p>
    <w:p>
      <w:pPr>
        <w:pStyle w:val="Normal"/>
        <w:numPr>
          <w:ilvl w:val="0"/>
          <w:numId w:val="7"/>
        </w:numPr>
        <w:bidi w:val="0"/>
        <w:spacing w:before="0" w:after="0"/>
        <w:ind w:left="1134" w:right="0" w:hanging="425"/>
        <w:jc w:val="both"/>
        <w:rPr/>
      </w:pPr>
      <w:r>
        <w:rPr>
          <w:rFonts w:ascii="Times New Roman" w:hAnsi="Times New Roman"/>
          <w:sz w:val="24"/>
          <w:szCs w:val="24"/>
        </w:rPr>
        <w:t>открыть кран 1 (рис 10,г) на гидроцилиндре 2;</w:t>
      </w:r>
    </w:p>
    <w:p>
      <w:pPr>
        <w:pStyle w:val="Normal"/>
        <w:numPr>
          <w:ilvl w:val="0"/>
          <w:numId w:val="8"/>
        </w:numPr>
        <w:bidi w:val="0"/>
        <w:spacing w:before="0" w:after="0"/>
        <w:ind w:left="1134" w:right="0" w:hanging="425"/>
        <w:jc w:val="both"/>
        <w:rPr/>
      </w:pPr>
      <w:r>
        <w:rPr>
          <w:rFonts w:ascii="Times New Roman" w:hAnsi="Times New Roman"/>
          <w:sz w:val="24"/>
          <w:szCs w:val="24"/>
        </w:rPr>
        <w:t>включить соответствующий рычаг распределителя трактора и загрузить систему до тех пор, пока из заглушки 1 (рис. 10,д) не покажется масло. Перекрыть заглушку.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Для того чтобы запустить систему в работу, необходимо перекрыть кран 1 на заднем гидроцилиндре (рис. 10,в).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Для проверки работоспособности системы и настройки прямолинейности движения граблей необходимо проехать около 100 метров по прямой (рис. 10,е), предварительно вынув пальцы 1 из отверстий (рис. 10,а).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4.3.11. Перевести грабли в транспортное положение. Для этого необходимо, воздействуя на рычаг управления подъемом пальцевых колес (1-й выносной цилиндр), поднять пальцевые колеса. Воздействуя на рычаг управления механизмом складывания (2-й выносной цилиндр) перевести боковые крылья граблей в транспортное положение.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Для исключения поломок передних самоустанавливающихся колес, перевод боковых крыльев из транспортного положения в рабочее и обратно производить только в движении. 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5641340" cy="1788795"/>
            <wp:effectExtent l="0" t="0" r="0" b="0"/>
            <wp:docPr id="1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Рисунок 11. Подготовка системы управления задних колес к транспортировке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Далее выдвинуть стержень 4 (рис. 6) из направляющей 2 и, совместив отверстия Б в направляющей и стержне, зафиксировать его шплинтом 5. Вращая рукоятку 1, поджать упор винта к головке стержня. Зафиксировать страховочную штангу 1 (рис. 7) с помощью пальцев 2 на центральной раме 3 и боковом крыле 4. Задние пальцевые колеса складываются и фиксируются талрепом 15 (рис.6) на колесном ходу.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Если грабли оборудованы системой автоматического управления задних колес, перед транспортировкой зафиксировать поворотные цапфы пальцем 1 (рис. 12) и открыть кран 2.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4.4 Электрооборудование используют только при транспортировании граблей по дорогам общего пользования, для чего освобождают штепсельную вилку из зажима, разматывают жгут провод, вставляют вилку в розетку трактора.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5. ТРАНСПОРТИРОВКА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Транспортирование граблей должно производиться автомобильным или железнодорожным транспортом в соответствии с правилами    перевозки грузов, действующими для этих видов транспорта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Условия транспортирования в части воздействия механических факторов должны соответствовать жестким условиям транспортирования по ГОСТ 23170.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Размещение и крепление машины должно обеспечивать сохранность ее от механических повреждений, а также сохранность товарного вида.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1576070</wp:posOffset>
            </wp:positionH>
            <wp:positionV relativeFrom="paragraph">
              <wp:posOffset>377190</wp:posOffset>
            </wp:positionV>
            <wp:extent cx="4262120" cy="2807335"/>
            <wp:effectExtent l="0" t="0" r="0" b="0"/>
            <wp:wrapSquare wrapText="bothSides"/>
            <wp:docPr id="15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При транспортировке граблей прицепленных к трактору во время переездов в начале и конце смены, а также внутрисменных и других транспортных переездов грабли должны быть переведены в транспортное положение (п. 5.3.9).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Во время движения следует принимать во внимание габариты агрегата. Транспортная скорость не должна превышать 20 км/ч. Для модели ГРЛ-9.6-01 скорость до 10 км/ч.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При перевозке автомобильным транспортом габарит граблей по ширине сужается до 2,4 м. Перед использованием граблей необходимо переустановить стойки опорных колес как указано на рисунке.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  <w:u w:val="single"/>
        </w:rPr>
        <w:t>ВНИМАНИЕ:</w:t>
      </w:r>
      <w:r>
        <w:rPr>
          <w:rFonts w:ascii="Times New Roman" w:hAnsi="Times New Roman"/>
          <w:b/>
          <w:sz w:val="24"/>
          <w:szCs w:val="24"/>
        </w:rPr>
        <w:t xml:space="preserve"> КАТЕГОРИЧЕСКИ ЗАПРЕЩАЕТСЯ РАБОТА ГРАБЛЕЙ СО СТОЙКАМИ ЗАДНИХ КОЛЕС УСТАНОВЛЕННЫМИ В ПОЛОЖЕНИИ ЗАУЖЕННОЙ КОЛЕИ 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6. РАБОТА ГРАБЛЕЙ НА ЗАГОНЕ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Заезжая на загон. грабли переводят из транспортного положения в рабочее. Для этого необходимо расфиксировать страховочные штанги 1 (рис. 7) на центральной раме и боковых крыльях граблей. Вращая рукоятку 1 (рис. 6) против часовой стрелки отрегулировать давление пальцевых колес на почву. Переставить стержень 4 в рабочее положение: достать шплинт 5, вставить стержень в трубу до совмещения отверстий «А» на трубе и стержне, зафиксировать положение стержня шплинтом. Перевести боковые крылья в рабочее положение: воздействуя на рычаг их управления, раскрыть боковые крылья граблей. Опустить пальцевые колеса, переведя рычаг управления подъемом пальцевых колес в положение «Плавающее».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В рабочем положении рычаг управления крыльями должен находиться в нейтральном положении, а рычаг управления подъемом пальцевых колес в положении «Плавающее».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Окончательную регулировку произвести по результатам пробного заезда.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Во время работы механизатор должен визуально контролировать качество выполнения технологического процесса. Качественного выполнения технологического процесса добиваются: 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-регулировкой давления пальцевых колес на почву; 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-регулировкой угла атаки боковых секций; 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-подбором направления и скорости движения.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Давление пружинных пальцев на почву должно быть достаточным для качественного сгребания скошенной массы в валок без огрехов, в то же время пальцы не должны захватывать дерн и почву.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При уборке трав, скошенных косилкой с сегменто-пальцевым режущим аппаратом, необходимо двигаться в том же направлении, в котором работала косилка.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При уборке трав, скошенных косилкой с ротационным режущим аппаратом, необходимо двигаться в противоположном направлении движения косилки.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Если скошенная масса предварительно подвергалась ворошению (вспушиванию), направление движения не имеет особого значения.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Скорость агрегата выбирают в зависимости от убираемой культуры, исходя из плотности и массы прокосов. Снижение скорости может быть необходимо на холмах и неровных поверхностях.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Движение агрегата по полю должно исключать крутые повороты. Прежде чем развернуться, необходимо снизить скорость трактора и поднять пальцевые колеса гидроцилиндрами подъемного механизма при необходимости сложить боковые секции. После разворота заезжают на следующие прокосы, пальцевые колеса переводят в рабочее положение и продолжают движение, следя за выполнением технологического процесса.</w:t>
      </w:r>
    </w:p>
    <w:p>
      <w:pPr>
        <w:sectPr>
          <w:footerReference w:type="default" r:id="rId16"/>
          <w:type w:val="nextPage"/>
          <w:pgSz w:w="11906" w:h="16838"/>
          <w:pgMar w:left="1700" w:right="850" w:gutter="0" w:header="0" w:top="1135" w:footer="283" w:bottom="709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Во время переездов в начале и конце смены, а также внутрисменных и других транспортных переездов грабли должны быть переведены в транспортное положение (п.5.3.8) во избежание поломки пружинных пальцев и пальцевых колес.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7. ТЕХНИЧЕСКОЕ ОБСЛУЖИВАНИЕ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Для достижения наибольшей эффективности работы граблей ГРЛ-9,6, ГРЛ-10,6, ГРЛ-11,7 а также предупреждения отказов необходимо проводить техническое обслуживание. Виды и периодичность работ технического обслуживания указаны в таблице 2.</w:t>
      </w:r>
    </w:p>
    <w:p>
      <w:pPr>
        <w:pStyle w:val="Normal"/>
        <w:bidi w:val="0"/>
        <w:spacing w:before="0" w:after="0"/>
        <w:ind w:left="792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7920" w:right="0" w:hanging="0"/>
        <w:jc w:val="right"/>
        <w:rPr/>
      </w:pPr>
      <w:r>
        <w:rPr>
          <w:rFonts w:ascii="Times New Roman" w:hAnsi="Times New Roman"/>
          <w:sz w:val="24"/>
          <w:szCs w:val="24"/>
        </w:rPr>
        <w:t>Таблица 2</w:t>
      </w:r>
    </w:p>
    <w:p>
      <w:pPr>
        <w:pStyle w:val="Normal"/>
        <w:bidi w:val="0"/>
        <w:spacing w:before="0" w:after="0"/>
        <w:ind w:left="792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Перечень операций технического обслуживания граблей ГРЛ-9,6, ГРЛ-10,6, ГРЛ-11,7.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435" w:type="dxa"/>
        <w:jc w:val="left"/>
        <w:tblInd w:w="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868"/>
        <w:gridCol w:w="1117"/>
        <w:gridCol w:w="5399"/>
        <w:gridCol w:w="2050"/>
      </w:tblGrid>
      <w:tr>
        <w:trPr>
          <w:trHeight w:val="480" w:hRule="atLeast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Вид ТО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Периодичность, ч.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Перечень операций по видам технического обслуживания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Технические требования</w:t>
            </w:r>
          </w:p>
        </w:tc>
      </w:tr>
      <w:tr>
        <w:trPr>
          <w:trHeight w:val="245" w:hRule="atLeast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>
        <w:trPr>
          <w:trHeight w:val="475" w:hRule="atLeast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1.    Очистить от пыли,    грязи и растительных остатков наружные поверхности и рабочие органы машины.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397" w:hRule="atLeast"/>
        </w:trPr>
        <w:tc>
          <w:tcPr>
            <w:tcW w:w="8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ЕТО</w:t>
            </w:r>
          </w:p>
        </w:tc>
        <w:tc>
          <w:tcPr>
            <w:tcW w:w="11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2. Наружным осмотром проверить: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-комплектность и техническое состояние составных частей; -состояние предохранительных устройств; -исправное состояние механизмов управления; -отсутствие подтеков масла в соединениях гидросистемы; -затяжку всех болтовых соединений.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Отсутствие деталей не допускается. Подтеки не допускаются.</w:t>
            </w:r>
          </w:p>
        </w:tc>
      </w:tr>
      <w:tr>
        <w:trPr>
          <w:trHeight w:val="245" w:hRule="atLeast"/>
        </w:trPr>
        <w:tc>
          <w:tcPr>
            <w:tcW w:w="868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7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3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1. Провести перечень работ, регламентированных ЕТО.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36" w:hRule="atLeast"/>
        </w:trPr>
        <w:tc>
          <w:tcPr>
            <w:tcW w:w="86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2. Провести смазку узлов трения.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соответствие с таблицей и схемой смазки (приложение А).</w:t>
            </w:r>
          </w:p>
        </w:tc>
      </w:tr>
      <w:tr>
        <w:trPr>
          <w:trHeight w:val="240" w:hRule="atLeast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1. Провести перечень работ, регламентированных ТО-1.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70" w:hRule="atLeast"/>
        </w:trPr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2. Проверить давление воздуха в шинах колес, при необходимости довести до нормы.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0,27 МПа</w:t>
            </w:r>
          </w:p>
        </w:tc>
      </w:tr>
      <w:tr>
        <w:trPr>
          <w:trHeight w:val="466" w:hRule="atLeast"/>
        </w:trPr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ТО-2</w:t>
            </w:r>
          </w:p>
        </w:tc>
        <w:tc>
          <w:tcPr>
            <w:tcW w:w="11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3. Провести дефектацию деталей, при необходимости, отремонтировать или заменить новыми.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41" w:hRule="atLeast"/>
        </w:trPr>
        <w:tc>
          <w:tcPr>
            <w:tcW w:w="8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4. Провести смазку узлов трения.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соответствие с таблицей и схемой смазки (приложение А).</w:t>
            </w:r>
          </w:p>
        </w:tc>
      </w:tr>
    </w:tbl>
    <w:p>
      <w:pPr>
        <w:pStyle w:val="Normal"/>
        <w:widowControl w:val="false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sz w:val="24"/>
          <w:szCs w:val="24"/>
        </w:rPr>
        <w:t>В течение первых 2 часов работы новой машины необходимо проверять:</w:t>
      </w:r>
    </w:p>
    <w:p>
      <w:pPr>
        <w:pStyle w:val="Normal"/>
        <w:numPr>
          <w:ilvl w:val="0"/>
          <w:numId w:val="2"/>
        </w:numPr>
        <w:bidi w:val="0"/>
        <w:spacing w:before="0" w:after="0"/>
        <w:ind w:left="720" w:right="0" w:hanging="360"/>
        <w:jc w:val="both"/>
        <w:rPr/>
      </w:pPr>
      <w:r>
        <w:rPr>
          <w:rFonts w:ascii="Times New Roman" w:hAnsi="Times New Roman"/>
          <w:sz w:val="24"/>
          <w:szCs w:val="24"/>
        </w:rPr>
        <w:t>надежность крепления узлов и деталей граблей;</w:t>
      </w:r>
    </w:p>
    <w:p>
      <w:pPr>
        <w:pStyle w:val="Normal"/>
        <w:numPr>
          <w:ilvl w:val="0"/>
          <w:numId w:val="2"/>
        </w:numPr>
        <w:bidi w:val="0"/>
        <w:spacing w:before="0" w:after="0"/>
        <w:ind w:left="720" w:right="0" w:hanging="360"/>
        <w:jc w:val="both"/>
        <w:rPr/>
      </w:pPr>
      <w:r>
        <w:rPr>
          <w:rFonts w:ascii="Times New Roman" w:hAnsi="Times New Roman"/>
          <w:sz w:val="24"/>
          <w:szCs w:val="24"/>
        </w:rPr>
        <w:t>состояние пружинных пальцев;</w:t>
      </w:r>
    </w:p>
    <w:p>
      <w:pPr>
        <w:pStyle w:val="Normal"/>
        <w:numPr>
          <w:ilvl w:val="0"/>
          <w:numId w:val="2"/>
        </w:numPr>
        <w:bidi w:val="0"/>
        <w:spacing w:before="0" w:after="0"/>
        <w:ind w:left="720" w:right="0" w:hanging="360"/>
        <w:jc w:val="both"/>
        <w:rPr/>
      </w:pPr>
      <w:r>
        <w:rPr>
          <w:rFonts w:ascii="Times New Roman" w:hAnsi="Times New Roman"/>
          <w:sz w:val="24"/>
          <w:szCs w:val="24"/>
        </w:rPr>
        <w:t>давление в шинах 0,27 МПа.</w:t>
      </w:r>
    </w:p>
    <w:p>
      <w:pPr>
        <w:pStyle w:val="Normal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sz w:val="24"/>
          <w:szCs w:val="24"/>
        </w:rPr>
        <w:t>Один раз в год или по мере необходимости, если пальцевые или опорные колеса вращаются с трудом проверить затяжку подшипников в ступицах колес и заменить смазку (Литол-24 ГОСТ 21150-87). Предварительную затяжку гайки производить до тех пор, пока колесо будет поворачиваться с некоторым усилием. Затем раскрутить гайку на 1/8-1/4 оборота или пока первая прорезь в корончатой гайке не совместится с отверстием для шплинта на оси ступицы и зашплинтовать гайку.</w:t>
      </w:r>
    </w:p>
    <w:p>
      <w:pPr>
        <w:pStyle w:val="Normal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sz w:val="24"/>
          <w:szCs w:val="24"/>
        </w:rPr>
        <w:t>Один раз в год или по мере необходимости производить проверку тормозных колодок барабанных тормозов. Остаточная толщина которых, допускается не менее 2 мм. Замену производить одновременно на левой и правой сторонах.</w:t>
      </w:r>
    </w:p>
    <w:p>
      <w:pPr>
        <w:pStyle w:val="Normal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b/>
          <w:sz w:val="24"/>
          <w:szCs w:val="24"/>
        </w:rPr>
        <w:t>8. ВОЗМОЖНЫЕ НЕИСПРАВНОСТИ И СПОСОБЫ ИХ УСТРАНЕНИЯ</w:t>
      </w:r>
    </w:p>
    <w:p>
      <w:pPr>
        <w:pStyle w:val="Normal"/>
        <w:bidi w:val="0"/>
        <w:spacing w:before="0" w:after="0"/>
        <w:ind w:left="0" w:right="0" w:firstLine="709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В процессе эксплуатации могут возникнуть неполадки, вызванные износом деталей, нарушением регулировок и правил эксплуатации.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Перечень возможных неисправностей и способы их устранения приведены в таблице 8.1.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792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    </w:t>
      </w:r>
      <w:r>
        <w:rPr>
          <w:rFonts w:ascii="Times New Roman" w:hAnsi="Times New Roman"/>
          <w:sz w:val="24"/>
          <w:szCs w:val="24"/>
        </w:rPr>
        <w:t>Таблица 8.1</w:t>
      </w:r>
    </w:p>
    <w:tbl>
      <w:tblPr>
        <w:tblW w:w="9498" w:type="dxa"/>
        <w:jc w:val="left"/>
        <w:tblInd w:w="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752"/>
        <w:gridCol w:w="2914"/>
        <w:gridCol w:w="2989"/>
        <w:gridCol w:w="1842"/>
      </w:tblGrid>
      <w:tr>
        <w:trPr>
          <w:trHeight w:val="475" w:hRule="atLeast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Признаки неисправности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Способы устранения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>
        <w:trPr>
          <w:trHeight w:val="2078" w:hRule="atLeast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Гидросистема граблей не работает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Не подключен дополнительный выход гидросистемы трактора. Рукава высокого давления от граблей неправильно соединены с выходами трактора. Низкий уровень масла в гидросистеме трактора.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Соединить рукав высокого давления граблей с подающей магистралью гидросистемы трактора. Проверить и, при необходимости, довести до нормы уровень масла в гидросистеме трактора. Провести ТО гидросистемы трактора и граблей.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-4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31" w:hRule="atLeast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Поломка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пружинных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пальцев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Высокая рабочая скорость. Высокое давление пальцевых колес на почву. Неровность поля.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Пальцы заменить, скорость снизить. Уменьшить давление пальцевых колес на почву.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п. 4.3.6.</w:t>
            </w:r>
          </w:p>
        </w:tc>
      </w:tr>
      <w:tr>
        <w:trPr>
          <w:trHeight w:val="475" w:hRule="atLeast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Одно из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пальцевых колес не вращается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Отсутствие смазки в ступице или смазка не соответствует требуемой. Изношен или поврежден подшипник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Заменить смазку.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Заменить подшипник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соответствие с таблицей и схемой смазки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(приложение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А).</w:t>
            </w:r>
          </w:p>
        </w:tc>
      </w:tr>
      <w:tr>
        <w:trPr>
          <w:trHeight w:val="1627" w:hRule="atLeast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Пальцевые колеса на одной из секций не вращаются. Низкое качество уборки (большие потери).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Недостаточное давление пальцевых колес на почву. Сломаны или отсутствуют пальцы.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Отрегулировать давление пальцевых колес на почву. Заменить или установить новые пальцы.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п. 4.3.6.</w:t>
            </w:r>
          </w:p>
        </w:tc>
      </w:tr>
    </w:tbl>
    <w:p>
      <w:pPr>
        <w:pStyle w:val="Normal"/>
        <w:widowControl w:val="false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lineRule="auto" w:line="276"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BodyTextIndent2"/>
        <w:bidi w:val="0"/>
        <w:spacing w:lineRule="auto" w:line="276"/>
        <w:ind w:left="283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Выбраковочным параметром пружинного пальца рабочего колеса является износ пальца до диаметра </w:t>
      </w:r>
      <w:r>
        <w:rPr>
          <w:rFonts w:ascii="Times New Roman" w:hAnsi="Times New Roman"/>
          <w:b/>
          <w:sz w:val="24"/>
          <w:szCs w:val="24"/>
        </w:rPr>
        <w:t>6 мм.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b/>
          <w:sz w:val="24"/>
          <w:szCs w:val="24"/>
        </w:rPr>
        <w:t>9. ПРАВИЛА ХРАНЕНИЯ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9.1.      Общие положения.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9.1.1. Машина в хозяйстве должны храниться согласно ГОСТ 7751-85 и ГОСТ 9.014-78.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9.1.2. Машину ставят на хранение: - кратковременное - перерыв в использовании машины от 10 дней до двух месяцев; - длительное - более двух месяцев.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9.1.3. Машина хранится в закрытом помещении или под навесом.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9.1.4. Техническое обслуживание машины перед постановкой на хранение производится по принятой в хозяйстве технологии.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9.1.5. Машина на кратковременное хранение должна быть поставлена непосредственно после окончания работ, а на длительное - не позднее 10 дней с момента их окончания.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9.2. Правила кратковременного хранения.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9.2.1. Перед постановкой машины на кратковременное хранение выполните следующие операции: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очистите и вымойте машину, восстановите поврежденную окраску;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прошприцуйте все пресс-масленки в соответствии с приложением А;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законсервируйте открытые винтовые и резьбовые соединения, выступающие части штоков цилиндров. Консервирующий материал - смазка Литол-24 ГОСТ 21150-87.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Устанавливайте машину на хранение комплектным, без снятия агрегатов и сборочных единиц, не покрывая шины светозащитным составом.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 Правила длительного хранения.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Перед постановкой машины на длительное хранение выполните работы согласно п. 9.2.1.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9.3.1. Условия хранения должны обеспечивать защиту деталей машины из резины от ультрафиолетового излучения.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9.3.2. Снизьте давление воздуха в шинах до 70 % (0,19 МПа) от нормального и покройте поверхности шин светозащитным составом (смесь алюминиевой пудры с масляным лаком или уайт-спиритом в отношении 1:4 или 1:5).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9.3.3. Установите машину на подставки до появления просвета между опорной поверхностью и колесами 8-10 см.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9.3.4. Натянуть страховочные цепи 9 (рис. 4) на каждом пальцевом колесе таким образом, чтобы поддерживающие пружины 1 находились в свободном состоянии. Пальцевые колеса рекомендуется снять с машины и хранить на складе.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9.3.5. При техническом обслуживании в процессе хранения не реже одного раза в два месяца - для машин, хранящихся под навесом, проверять: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давление воздуха в шинах колес (0,19 МПа);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комплектность;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состояние защитного слоя антикоррозионных покрытий (наличие защитной смазки, целостность окраски, отсутствие коррозии);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правильность установки машин на подставках, их устойчивость.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9.3.6. При снятии машины с хранения необходимо провести следующие работы: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довести давление в шинах до 0,27 МПа; снять машину с подставок;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провести расконсервацию;</w:t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- провести регулировки и проверить работоспособность машины согласно разделу 4.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157" w:firstLine="709"/>
        <w:rPr/>
      </w:pPr>
      <w:r>
        <w:rPr>
          <w:rFonts w:ascii="Times New Roman" w:hAnsi="Times New Roman"/>
          <w:b/>
          <w:sz w:val="24"/>
          <w:szCs w:val="24"/>
        </w:rPr>
        <w:t>10 КОМПЛЕКТНОСТЬ</w:t>
      </w:r>
    </w:p>
    <w:p>
      <w:pPr>
        <w:pStyle w:val="Normal"/>
        <w:bidi w:val="0"/>
        <w:spacing w:before="0" w:after="0"/>
        <w:ind w:left="0" w:right="157" w:firstLine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157" w:firstLine="709"/>
        <w:jc w:val="both"/>
        <w:rPr/>
      </w:pPr>
      <w:r>
        <w:rPr>
          <w:rFonts w:ascii="Times New Roman" w:hAnsi="Times New Roman"/>
          <w:sz w:val="24"/>
          <w:szCs w:val="24"/>
        </w:rPr>
        <w:t>10.1 Грабли поставляются потребителю в собранном виде в комплекте согласно таблице 10.1</w:t>
      </w:r>
    </w:p>
    <w:p>
      <w:pPr>
        <w:pStyle w:val="Normal"/>
        <w:bidi w:val="0"/>
        <w:spacing w:before="0" w:after="0"/>
        <w:ind w:left="7200" w:right="157" w:hanging="0"/>
        <w:jc w:val="both"/>
        <w:rPr/>
      </w:pPr>
      <w:r>
        <w:rPr>
          <w:rFonts w:ascii="Times New Roman" w:hAnsi="Times New Roman"/>
          <w:sz w:val="24"/>
          <w:szCs w:val="24"/>
        </w:rPr>
        <w:t>Таблица 10.1</w:t>
      </w:r>
    </w:p>
    <w:tbl>
      <w:tblPr>
        <w:tblW w:w="10915" w:type="dxa"/>
        <w:jc w:val="left"/>
        <w:tblInd w:w="-11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2"/>
        <w:gridCol w:w="3400"/>
        <w:gridCol w:w="7"/>
        <w:gridCol w:w="844"/>
        <w:gridCol w:w="1984"/>
        <w:gridCol w:w="1988"/>
      </w:tblGrid>
      <w:tr>
        <w:trPr>
          <w:trHeight w:val="886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16" w:before="0" w:after="0"/>
              <w:ind w:left="0" w:right="159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Обозначение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16" w:before="0" w:after="0"/>
              <w:ind w:left="0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16"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Коли-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16"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чество, шт.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16"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Обозначение укладочного или упаковочного места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16" w:before="0" w:after="0"/>
              <w:ind w:left="0" w:right="159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>
        <w:trPr>
          <w:trHeight w:val="559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ГРЛ-9,6 00.00.000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Грабли колесно-пальцевые ГРЛ-9,6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1/2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Без упаковки,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масса, кг</w:t>
            </w:r>
          </w:p>
        </w:tc>
      </w:tr>
      <w:tr>
        <w:trPr>
          <w:trHeight w:val="241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</w:t>
            </w:r>
          </w:p>
        </w:tc>
      </w:tr>
      <w:tr>
        <w:trPr>
          <w:trHeight w:val="299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ГРЛ-9,6 00.00.000 РЭ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108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Руководство по эксплуатации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Документация    и ЗИП укладывается в пакет из полиэтиленовой пленки ГОСТ 10354</w:t>
            </w:r>
          </w:p>
        </w:tc>
      </w:tr>
      <w:tr>
        <w:trPr>
          <w:trHeight w:val="274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ГРЛ-9,6 00.00.000 ПС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Паспорт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Втулка скольжения №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739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40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Листы упаковочные: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места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67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Комплект запасных частей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45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45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ГРЛ-9,6-01 00.00.000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Грабли колесно-пальцевые ГРЛ-9,6-01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1/2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Без упаковки,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масса, кг</w:t>
            </w:r>
          </w:p>
        </w:tc>
      </w:tr>
      <w:tr>
        <w:trPr>
          <w:trHeight w:val="312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</w:t>
            </w:r>
          </w:p>
        </w:tc>
      </w:tr>
      <w:tr>
        <w:trPr>
          <w:trHeight w:val="145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ГРЛ-9,6 00.00.000 РЭ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108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Руководство по эксплуатации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Документация    и ЗИП укладывается в пакет из полиэтиленовой пленки ГОСТ 10354</w:t>
            </w:r>
          </w:p>
        </w:tc>
      </w:tr>
      <w:tr>
        <w:trPr>
          <w:trHeight w:val="145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ГРЛ-9,6 00.00.000 ПС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Паспорт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45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Втулка скольжения №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739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45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Листы упаковочные: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места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45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Комплект запасных частей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85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541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ГРЛ-10,6 00.00.000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Грабли колесно-пальцевые ГРЛ-10,6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1/2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Без упаковки,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масса, кг</w:t>
            </w:r>
          </w:p>
        </w:tc>
      </w:tr>
      <w:tr>
        <w:trPr>
          <w:trHeight w:val="318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</w:t>
            </w:r>
          </w:p>
        </w:tc>
      </w:tr>
      <w:tr>
        <w:trPr>
          <w:trHeight w:val="357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ГРЛ-10,6 00.00.000 РЭ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108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Руководство по эксплуатации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Документация    и ЗИП укладывается в пакет из полиэтиленовой пленки ГОСТ 10354</w:t>
            </w:r>
          </w:p>
        </w:tc>
      </w:tr>
      <w:tr>
        <w:trPr>
          <w:trHeight w:val="276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ГРЛ-10,6 00.00.000 ПС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Паспорт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24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Втулка скольжения №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739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428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Листы упаковочные: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места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10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Комплект запасных частей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98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541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ГРЛ-11,7 00.00.000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Грабли колесно-пальцевые ГРЛ-11,7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1/2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Без упаковки,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масса, кг</w:t>
            </w:r>
          </w:p>
        </w:tc>
      </w:tr>
      <w:tr>
        <w:trPr>
          <w:trHeight w:val="339" w:hRule="atLeast"/>
          <w:cantSplit w:val="true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</w:t>
            </w:r>
          </w:p>
        </w:tc>
      </w:tr>
      <w:tr>
        <w:trPr>
          <w:trHeight w:val="452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ГРЛ-11,7 00.00.000 РЭ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108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Руководство по эксплуатации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Документация    и ЗИП укладывается в пакет из полиэтиленовой пленки ГОСТ 10354</w:t>
            </w:r>
          </w:p>
        </w:tc>
      </w:tr>
      <w:tr>
        <w:trPr>
          <w:trHeight w:val="541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ГРЛ-11,7 00.00.000 ПС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Паспорт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39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Втулка скольжения №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739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См. примечание</w:t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71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Листы упаковочные: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места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71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Комплект запасных частей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W w:w="19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hang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1406" w:hRule="atLeast"/>
          <w:cantSplit w:val="true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57" w:right="-57" w:firstLine="105"/>
              <w:jc w:val="center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Примечание:</w:t>
            </w:r>
          </w:p>
        </w:tc>
        <w:tc>
          <w:tcPr>
            <w:tcW w:w="8223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-36" w:right="-108" w:hanging="0"/>
              <w:jc w:val="both"/>
              <w:rPr/>
            </w:pPr>
            <w:r>
              <w:rPr>
                <w:rFonts w:ascii="Times New Roman" w:hAnsi="Times New Roman"/>
                <w:sz w:val="18"/>
                <w:szCs w:val="18"/>
              </w:rPr>
              <w:t>Руководство по эксплуатации, паспорт вместе с сопроводительными документами выдаются потребителю лично при получении агрегата у изготовителя. В гарантийном талоне делается отметка о дате продажи. Руководство по эксплуатации, паспорт, комплект запасных частей укладываются в пакет из полиэтиленовой пленки.</w:t>
            </w:r>
          </w:p>
        </w:tc>
      </w:tr>
    </w:tbl>
    <w:p>
      <w:pPr>
        <w:sectPr>
          <w:footerReference w:type="default" r:id="rId17"/>
          <w:type w:val="nextPage"/>
          <w:pgSz w:w="11906" w:h="16838"/>
          <w:pgMar w:left="1700" w:right="850" w:gutter="0" w:header="0" w:top="1135" w:footer="283" w:bottom="709"/>
          <w:pgNumType w:fmt="decimal"/>
          <w:formProt w:val="false"/>
          <w:textDirection w:val="lrTb"/>
          <w:docGrid w:type="default" w:linePitch="100" w:charSpace="0"/>
        </w:sectPr>
        <w:pStyle w:val="Style20"/>
        <w:widowControl w:val="false"/>
        <w:bidi w:val="0"/>
        <w:ind w:left="0" w:right="0" w:firstLine="720"/>
        <w:jc w:val="lef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20"/>
        <w:bidi w:val="0"/>
        <w:ind w:left="0" w:right="0" w:firstLine="720"/>
        <w:jc w:val="lef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20"/>
        <w:bidi w:val="0"/>
        <w:ind w:left="0" w:right="0" w:firstLine="720"/>
        <w:jc w:val="left"/>
        <w:rPr/>
      </w:pPr>
      <w:r>
        <w:rPr>
          <w:b/>
          <w:sz w:val="24"/>
          <w:szCs w:val="24"/>
        </w:rPr>
        <w:t>11 СВИДЕТЕЛЬСТВО О ПРИЕМКЕ</w:t>
      </w:r>
    </w:p>
    <w:p>
      <w:pPr>
        <w:pStyle w:val="Style20"/>
        <w:bidi w:val="0"/>
        <w:ind w:left="0" w:right="0" w:firstLine="72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>Грабли колесно-пальцевые марка - ГРЛ-9,6 ГРЛ-9,6-01, ГРЛ-10,6 , ГРЛ-11,7</w:t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>Заводской номер______________________________________________</w:t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 xml:space="preserve">Соответствует техническим условиям ТУ </w:t>
      </w:r>
      <w:r>
        <w:rPr>
          <w:sz w:val="24"/>
          <w:szCs w:val="24"/>
          <w:lang w:val="en-US"/>
        </w:rPr>
        <w:t>BY</w:t>
      </w:r>
      <w:r>
        <w:rPr>
          <w:sz w:val="24"/>
          <w:szCs w:val="24"/>
        </w:rPr>
        <w:t xml:space="preserve"> 500052032.008-2012</w:t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>и признан годным для эксплуатации.</w:t>
      </w:r>
    </w:p>
    <w:p>
      <w:pPr>
        <w:pStyle w:val="Style20"/>
        <w:bidi w:val="0"/>
        <w:ind w:left="0" w:right="0" w:firstLine="72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0"/>
        <w:bidi w:val="0"/>
        <w:ind w:left="0" w:right="0" w:firstLine="72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>М.П.</w:t>
        <w:tab/>
        <w:tab/>
        <w:tab/>
        <w:tab/>
        <w:tab/>
        <w:tab/>
        <w:t>Дата выпуска__________________</w:t>
      </w:r>
    </w:p>
    <w:p>
      <w:pPr>
        <w:pStyle w:val="Style20"/>
        <w:bidi w:val="0"/>
        <w:ind w:left="0" w:right="0" w:firstLine="72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>Подпись лиц ответственных</w:t>
      </w:r>
    </w:p>
    <w:p>
      <w:pPr>
        <w:pStyle w:val="Style20"/>
        <w:bidi w:val="0"/>
        <w:ind w:left="0" w:right="0" w:firstLine="720"/>
        <w:jc w:val="left"/>
        <w:rPr/>
      </w:pPr>
      <w:r>
        <w:rPr>
          <w:sz w:val="24"/>
          <w:szCs w:val="24"/>
        </w:rPr>
        <w:t>за приемку</w:t>
      </w:r>
    </w:p>
    <w:p>
      <w:pPr>
        <w:pStyle w:val="Normal"/>
        <w:bidi w:val="0"/>
        <w:spacing w:lineRule="auto" w:line="276"/>
        <w:ind w:left="0" w:right="0"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sectPr>
          <w:footerReference w:type="default" r:id="rId18"/>
          <w:type w:val="nextPage"/>
          <w:pgSz w:w="11906" w:h="16838"/>
          <w:pgMar w:left="1700" w:right="850" w:gutter="0" w:header="0" w:top="1135" w:footer="283" w:bottom="709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b/>
          <w:sz w:val="24"/>
          <w:szCs w:val="24"/>
        </w:rPr>
        <w:t>12 ГАРАНТИИ ИЗГОТОВИТЕЛЯ</w:t>
      </w:r>
    </w:p>
    <w:p>
      <w:pPr>
        <w:pStyle w:val="Style20"/>
        <w:bidi w:val="0"/>
        <w:ind w:left="144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12.1 Изготовитель    гарантирует    соответствие    граблей требованиям настоящих технических условий при соблюдении условий эксплуатации, транспортирования и хранения, установленных настоящими техническими условиями и руководствами по эксплуатации.</w:t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12.2 Гарантируется исправность граблей в эксплуатации в течение 24 месяцев со дня ввода в эксплуатацию. Начало гарантийного срока исчисляется со дня ввода изделия в эксплуатацию, но не позднее 12 месяцев со дня приобретения.</w:t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12.3 Претензии по качеству изделий удовлетворяются в соответствии с действующим законодательством Республики Беларусь и постановлением Совета Министров Республики Беларусь от 27.06.2008г. №952 «О гарантийном сроке эксплуатации сложной техники и оборудования».</w:t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При постановке на экспорт, в страны СНГ претензии - в соответствии с соглашением о порядке разрешения споров, связанных с осуществлением хозяйственной деятельности.</w:t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12.4 К граблям изготовитель должен прилагать паспорт с гарантийным талоном и «Руководство по эксплуатации».</w:t>
      </w:r>
    </w:p>
    <w:p>
      <w:pPr>
        <w:pStyle w:val="Normal"/>
        <w:widowControl w:val="false"/>
        <w:shd w:fill="FFFFFF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12.5 Форма гарантийного талона приведена в приложении Б.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BodyTextIndent2"/>
        <w:bidi w:val="0"/>
        <w:ind w:left="283" w:right="0" w:hanging="0"/>
        <w:jc w:val="center"/>
        <w:rPr/>
      </w:pPr>
      <w:r>
        <w:rPr>
          <w:rFonts w:ascii="Times New Roman" w:hAnsi="Times New Roman"/>
          <w:b/>
          <w:sz w:val="24"/>
          <w:szCs w:val="24"/>
        </w:rPr>
        <w:t>13 Утилизация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13.1 Подготовку агрегата к утилизации необходимо проводить после утверждения акта о его списании, назначения руководителя, ответственного за проведение работ, и утверждение плана по проведению утилизации.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13.2 Меры безопасности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13.2.1 Необходимо соблюдать все общие правила техники безопасности при работе с агрегатом.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13.2.2 При разборке агрегата необходимо соблюдать требования инструкций по технике безопасности при работе на ремонтном оборудовании.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13.3 Сведения и проводимые мероприятия по подготовке и отправке агрегата на утилизацию.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13.3.1 Порядок разборки агрегата по узлам при утилизации: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- демонтировать с агрегата рабочие органы (солнце в сборе);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- демонтировать с агрегата систему гидравлики;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- отсоединить опорные колеса;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- разобрать рамные констркуции на составные часть.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13.3.2 Произвести разборку узлов по деталям.</w:t>
      </w:r>
    </w:p>
    <w:p>
      <w:pPr>
        <w:pStyle w:val="Normal"/>
        <w:bidi w:val="0"/>
        <w:ind w:left="0" w:right="0" w:firstLine="709"/>
        <w:rPr/>
      </w:pPr>
      <w:r>
        <w:rPr>
          <w:rFonts w:ascii="Times New Roman" w:hAnsi="Times New Roman"/>
          <w:sz w:val="24"/>
          <w:szCs w:val="24"/>
        </w:rPr>
        <w:t>13.3.3 Сортировать детали по группам: черный металл, цветной металл, резинотехнические детали.</w:t>
      </w:r>
    </w:p>
    <w:p>
      <w:pPr>
        <w:pStyle w:val="Normal"/>
        <w:bidi w:val="0"/>
        <w:spacing w:before="0" w:after="0"/>
        <w:ind w:left="0" w:right="0" w:firstLine="709"/>
        <w:jc w:val="both"/>
        <w:rPr/>
      </w:pPr>
      <w:r>
        <w:rPr>
          <w:rFonts w:ascii="Times New Roman" w:hAnsi="Times New Roman"/>
          <w:sz w:val="24"/>
          <w:szCs w:val="24"/>
        </w:rPr>
        <w:t>13.3.4 Произвести дефектовку деталей. Годные детали использовать для технологическо-ремонтных нужд, а изношенные - на металлолом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b/>
          <w:sz w:val="20"/>
          <w:szCs w:val="20"/>
        </w:rPr>
        <w:t>ПРИЛОЖЕНИЕ</w:t>
      </w:r>
    </w:p>
    <w:p>
      <w:pPr>
        <w:pStyle w:val="Normal"/>
        <w:bidi w:val="0"/>
        <w:spacing w:before="0" w:after="0"/>
        <w:ind w:left="0" w:right="0" w:firstLine="720"/>
        <w:jc w:val="center"/>
        <w:rPr>
          <w:rFonts w:ascii="Times New Roman" w:hAnsi="Times New Roman"/>
          <w:b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b/>
          <w:sz w:val="20"/>
          <w:szCs w:val="20"/>
        </w:rPr>
        <w:t>ПРИЛОЖЕНИЕ А</w:t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b/>
          <w:sz w:val="20"/>
          <w:szCs w:val="20"/>
        </w:rPr>
        <w:t>ТАБЛИЦА И СХЕМА СМАЗКИ</w:t>
      </w:r>
    </w:p>
    <w:p>
      <w:pPr>
        <w:pStyle w:val="Normal"/>
        <w:bidi w:val="0"/>
        <w:spacing w:before="0" w:after="0"/>
        <w:ind w:left="0" w:right="0" w:firstLine="720"/>
        <w:jc w:val="both"/>
        <w:rPr>
          <w:rFonts w:ascii="Times New Roman" w:hAnsi="Times New Roman"/>
          <w:b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</w:r>
    </w:p>
    <w:p>
      <w:pPr>
        <w:pStyle w:val="Normal"/>
        <w:bidi w:val="0"/>
        <w:spacing w:before="0" w:after="0"/>
        <w:ind w:left="0" w:right="0" w:firstLine="720"/>
        <w:jc w:val="both"/>
        <w:rPr/>
      </w:pPr>
      <w:r>
        <w:rPr>
          <w:rFonts w:ascii="Times New Roman" w:hAnsi="Times New Roman"/>
          <w:sz w:val="24"/>
          <w:szCs w:val="24"/>
        </w:rPr>
        <w:t>При проведении технического обслуживания производить смазку узлов трения согласно таблице и схеме смазки.</w:t>
      </w:r>
    </w:p>
    <w:p>
      <w:pPr>
        <w:pStyle w:val="Normal"/>
        <w:bidi w:val="0"/>
        <w:spacing w:before="0" w:after="0"/>
        <w:ind w:left="6480" w:right="0" w:firstLine="720"/>
        <w:jc w:val="right"/>
        <w:rPr/>
      </w:pPr>
      <w:r>
        <w:rPr>
          <w:rFonts w:ascii="Times New Roman" w:hAnsi="Times New Roman"/>
          <w:sz w:val="24"/>
          <w:szCs w:val="24"/>
        </w:rPr>
        <w:t xml:space="preserve">Таблица смазки </w:t>
      </w:r>
    </w:p>
    <w:tbl>
      <w:tblPr>
        <w:tblW w:w="9725" w:type="dxa"/>
        <w:jc w:val="left"/>
        <w:tblInd w:w="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094"/>
        <w:gridCol w:w="3158"/>
        <w:gridCol w:w="1369"/>
        <w:gridCol w:w="1661"/>
        <w:gridCol w:w="2443"/>
      </w:tblGrid>
      <w:tr>
        <w:trPr>
          <w:trHeight w:val="1119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позиции на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схеме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точек смазки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точек смазки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смазки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Наименование, марка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смазочного материала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Ступица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Ось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Ось поворотная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Ось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Ось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Проушина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6/8/10**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Втулка направляющая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Ось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Ось поворотная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Ползун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Втулка направляющая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Винт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Блок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22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Талреп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  <w:tr>
        <w:trPr>
          <w:trHeight w:val="331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Пальцевое колесо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16/18/20**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СТО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Литол-24 ГОСТ 21150-87</w:t>
            </w:r>
          </w:p>
        </w:tc>
      </w:tr>
    </w:tbl>
    <w:p>
      <w:pPr>
        <w:pStyle w:val="Normal"/>
        <w:widowControl w:val="false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* - ГРЛ-10,6 , ГРЛ-11,7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** - для граблей ГРЛ-9,6 , ГРЛ-10,6 , ГРЛ-11,7 соответственно.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firstLine="720"/>
        <w:jc w:val="center"/>
        <w:rPr/>
      </w:pPr>
      <w:r>
        <w:rPr>
          <w:rFonts w:ascii="Times New Roman" w:hAnsi="Times New Roman"/>
          <w:b/>
          <w:sz w:val="24"/>
          <w:szCs w:val="24"/>
        </w:rPr>
        <w:t>ПРДОЛЖЕНИЕ ПРИЛАЖЕНИЯ А</w:t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6187440" cy="6565265"/>
            <wp:effectExtent l="0" t="0" r="0" b="0"/>
            <wp:docPr id="16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Схема смазки</w:t>
      </w:r>
    </w:p>
    <w:p>
      <w:pPr>
        <w:sectPr>
          <w:footerReference w:type="default" r:id="rId20"/>
          <w:type w:val="nextPage"/>
          <w:pgSz w:w="11906" w:h="16838"/>
          <w:pgMar w:left="1700" w:right="850" w:gutter="0" w:header="0" w:top="1135" w:footer="283" w:bottom="709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spacing w:before="0" w:after="0"/>
        <w:ind w:left="0" w:right="0" w:hang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1"/>
        <w:bidi w:val="0"/>
        <w:ind w:left="0" w:right="0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1"/>
        <w:bidi w:val="0"/>
        <w:ind w:left="0" w:right="0" w:hanging="0"/>
        <w:rPr/>
      </w:pPr>
      <w:r>
        <w:rPr>
          <w:b/>
          <w:sz w:val="24"/>
          <w:szCs w:val="24"/>
        </w:rPr>
        <w:t>ПРИЛОЖЕНИЕ Б</w:t>
      </w:r>
    </w:p>
    <w:p>
      <w:pPr>
        <w:pStyle w:val="Normal"/>
        <w:tabs>
          <w:tab w:val="clear" w:pos="720"/>
          <w:tab w:val="left" w:pos="9638" w:leader="none"/>
        </w:tabs>
        <w:bidi w:val="0"/>
        <w:ind w:left="0" w:right="-1" w:hanging="0"/>
        <w:jc w:val="center"/>
        <w:rPr/>
      </w:pPr>
      <w:r>
        <w:rPr>
          <w:rFonts w:ascii="Times New Roman" w:hAnsi="Times New Roman"/>
          <w:sz w:val="24"/>
          <w:szCs w:val="24"/>
        </w:rPr>
        <w:t>(обязательное)</w:t>
      </w:r>
    </w:p>
    <w:p>
      <w:pPr>
        <w:pStyle w:val="Normal"/>
        <w:bidi w:val="0"/>
        <w:spacing w:lineRule="auto" w:line="360"/>
        <w:ind w:left="0" w:right="0" w:hanging="0"/>
        <w:jc w:val="both"/>
        <w:rPr/>
      </w:pPr>
      <w:r>
        <w:rPr>
          <w:i/>
          <w:sz w:val="24"/>
          <w:u w:val="single"/>
        </w:rPr>
        <w:t>ОАО «Минойтовский ремонтный завод», Гродненская обл., Лидский р-н, д.Минйты</w:t>
      </w:r>
    </w:p>
    <w:p>
      <w:pPr>
        <w:pStyle w:val="Normal"/>
        <w:bidi w:val="0"/>
        <w:spacing w:lineRule="auto" w:line="360"/>
        <w:ind w:left="0" w:right="0" w:hanging="0"/>
        <w:jc w:val="both"/>
        <w:rPr/>
      </w:pPr>
      <w:r>
        <w:rPr>
          <w:i/>
          <w:sz w:val="24"/>
          <w:u w:val="single"/>
        </w:rPr>
        <w:t xml:space="preserve">факс приемной </w:t>
      </w:r>
      <w:r>
        <w:rPr>
          <w:i/>
          <w:sz w:val="24"/>
          <w:szCs w:val="24"/>
          <w:u w:val="single"/>
        </w:rPr>
        <w:t>+375 154 655301</w:t>
      </w:r>
      <w:r>
        <w:rPr>
          <w:i/>
          <w:sz w:val="24"/>
          <w:u w:val="single"/>
        </w:rPr>
        <w:t xml:space="preserve">, факс ОТК </w:t>
      </w:r>
      <w:r>
        <w:rPr>
          <w:i/>
          <w:sz w:val="24"/>
          <w:szCs w:val="24"/>
          <w:u w:val="single"/>
        </w:rPr>
        <w:t>+375 154 655308</w:t>
      </w:r>
      <w:r>
        <w:rPr>
          <w:i/>
          <w:sz w:val="24"/>
          <w:u w:val="single"/>
        </w:rPr>
        <w:t>;</w:t>
      </w:r>
      <w:r>
        <w:rPr>
          <w:sz w:val="28"/>
        </w:rPr>
        <w:t xml:space="preserve"> </w:t>
      </w:r>
      <w:r>
        <w:rPr>
          <w:b/>
          <w:sz w:val="24"/>
          <w:szCs w:val="24"/>
          <w:lang w:val="en-US"/>
        </w:rPr>
        <w:t>E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 xml:space="preserve">: </w:t>
      </w:r>
      <w:r>
        <w:rPr>
          <w:b/>
          <w:sz w:val="28"/>
        </w:rPr>
        <w:t xml:space="preserve"> </w:t>
      </w:r>
      <w:r>
        <w:rPr>
          <w:b/>
          <w:sz w:val="24"/>
          <w:szCs w:val="24"/>
        </w:rPr>
        <w:t>minojty_rz@tut.by</w:t>
      </w:r>
    </w:p>
    <w:p>
      <w:pPr>
        <w:pStyle w:val="Normal"/>
        <w:bidi w:val="0"/>
        <w:spacing w:lineRule="auto" w:line="276"/>
        <w:ind w:left="0" w:right="0" w:firstLine="426"/>
        <w:jc w:val="right"/>
        <w:rPr/>
      </w:pPr>
      <w:r>
        <w:rPr>
          <w:i/>
          <w:sz w:val="24"/>
          <w:u w:val="single"/>
        </w:rPr>
        <w:t>р/с 3012200370012 в ОАО «БелАПБ»</w:t>
      </w:r>
    </w:p>
    <w:p>
      <w:pPr>
        <w:pStyle w:val="Normal"/>
        <w:tabs>
          <w:tab w:val="clear" w:pos="720"/>
          <w:tab w:val="left" w:pos="6555" w:leader="none"/>
        </w:tabs>
        <w:bidi w:val="0"/>
        <w:spacing w:before="0" w:after="0"/>
        <w:ind w:left="0" w:right="195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>ГАРАНТИЙНЫЙ ТАЛОН № _____</w:t>
      </w:r>
    </w:p>
    <w:p>
      <w:pPr>
        <w:pStyle w:val="Normal"/>
        <w:bidi w:val="0"/>
        <w:spacing w:before="0" w:after="0"/>
        <w:ind w:left="0" w:right="195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315" w:leader="none"/>
          <w:tab w:val="center" w:pos="4749" w:leader="none"/>
        </w:tabs>
        <w:bidi w:val="0"/>
        <w:spacing w:before="0" w:after="0"/>
        <w:ind w:left="0" w:right="195" w:hanging="709"/>
        <w:rPr/>
      </w:pPr>
      <w:r>
        <w:rPr>
          <w:rFonts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  <w:u w:val="single"/>
        </w:rPr>
        <w:t>ГРЛ-4,1 , ГРЛ-6,05 , ГРЛ-7,3 , ГРЛ-8,5 , ГРЛ-9,6, ГРЛ-9,6-01,  ГРЛ-10,6 , ГРЛ-11,7</w:t>
      </w:r>
    </w:p>
    <w:p>
      <w:pPr>
        <w:pStyle w:val="Normal"/>
        <w:tabs>
          <w:tab w:val="clear" w:pos="720"/>
          <w:tab w:val="center" w:pos="5246" w:leader="none"/>
        </w:tabs>
        <w:bidi w:val="0"/>
        <w:spacing w:before="0" w:after="0"/>
        <w:ind w:left="993" w:right="195" w:hanging="0"/>
        <w:rPr/>
      </w:pPr>
      <w:r>
        <w:rPr>
          <w:rFonts w:ascii="Times New Roman" w:hAnsi="Times New Roman"/>
          <w:sz w:val="24"/>
          <w:szCs w:val="24"/>
        </w:rPr>
        <w:t>(наименование, тип и марка изделия)</w:t>
      </w:r>
    </w:p>
    <w:p>
      <w:pPr>
        <w:pStyle w:val="Normal"/>
        <w:tabs>
          <w:tab w:val="clear" w:pos="720"/>
          <w:tab w:val="left" w:pos="390" w:leader="none"/>
          <w:tab w:val="center" w:pos="4536" w:leader="none"/>
          <w:tab w:val="left" w:pos="9072" w:leader="none"/>
        </w:tabs>
        <w:bidi w:val="0"/>
        <w:spacing w:before="0" w:after="0"/>
        <w:ind w:left="0" w:right="622" w:hanging="0"/>
        <w:rPr/>
      </w:pPr>
      <w:r>
        <w:rPr>
          <w:rFonts w:ascii="Times New Roman" w:hAnsi="Times New Roman"/>
          <w:sz w:val="24"/>
          <w:szCs w:val="24"/>
        </w:rPr>
        <w:tab/>
        <w:t>.____________________________________________________________________</w:t>
      </w:r>
    </w:p>
    <w:p>
      <w:pPr>
        <w:pStyle w:val="Normal"/>
        <w:tabs>
          <w:tab w:val="clear" w:pos="720"/>
          <w:tab w:val="left" w:pos="1035" w:leader="none"/>
          <w:tab w:val="center" w:pos="5103" w:leader="none"/>
        </w:tabs>
        <w:bidi w:val="0"/>
        <w:spacing w:before="0" w:after="0"/>
        <w:ind w:left="0" w:right="195" w:firstLine="708"/>
        <w:rPr/>
      </w:pPr>
      <w:r>
        <w:rPr>
          <w:rFonts w:ascii="Times New Roman" w:hAnsi="Times New Roman"/>
          <w:sz w:val="24"/>
          <w:szCs w:val="24"/>
        </w:rPr>
        <w:tab/>
        <w:t>(число, месяц, год выпуска)</w:t>
      </w:r>
    </w:p>
    <w:p>
      <w:pPr>
        <w:pStyle w:val="Normal"/>
        <w:tabs>
          <w:tab w:val="clear" w:pos="720"/>
          <w:tab w:val="left" w:pos="375" w:leader="none"/>
          <w:tab w:val="center" w:pos="4749" w:leader="none"/>
        </w:tabs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ab/>
        <w:t>_____________________________________________________________________</w:t>
      </w:r>
    </w:p>
    <w:p>
      <w:pPr>
        <w:pStyle w:val="Normal"/>
        <w:tabs>
          <w:tab w:val="clear" w:pos="720"/>
          <w:tab w:val="left" w:pos="1005" w:leader="none"/>
          <w:tab w:val="left" w:pos="1200" w:leader="none"/>
          <w:tab w:val="center" w:pos="5103" w:leader="none"/>
        </w:tabs>
        <w:bidi w:val="0"/>
        <w:spacing w:before="0" w:after="0"/>
        <w:ind w:left="0" w:right="195" w:firstLine="708"/>
        <w:rPr/>
      </w:pPr>
      <w:r>
        <w:rPr>
          <w:rFonts w:ascii="Times New Roman" w:hAnsi="Times New Roman"/>
          <w:sz w:val="24"/>
          <w:szCs w:val="24"/>
        </w:rPr>
        <w:tab/>
        <w:t>(заводской номер изделия)</w:t>
      </w:r>
    </w:p>
    <w:p>
      <w:pPr>
        <w:pStyle w:val="Normal"/>
        <w:bidi w:val="0"/>
        <w:spacing w:before="0" w:after="0"/>
        <w:ind w:left="851" w:right="195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851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>Изделие полностью соответствует чертежам, техническим условиям,</w:t>
      </w:r>
    </w:p>
    <w:p>
      <w:pPr>
        <w:pStyle w:val="Normal"/>
        <w:bidi w:val="0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sz w:val="24"/>
          <w:szCs w:val="24"/>
        </w:rPr>
        <w:t>характеристике и стандартам:</w:t>
        <w:tab/>
      </w:r>
      <w:r>
        <w:rPr>
          <w:rFonts w:ascii="Times New Roman" w:hAnsi="Times New Roman"/>
          <w:b/>
          <w:i/>
          <w:sz w:val="24"/>
          <w:szCs w:val="24"/>
          <w:u w:val="single"/>
        </w:rPr>
        <w:t>ТУ В</w:t>
      </w:r>
      <w:r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Y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500052032.008-2012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                          </w:t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 xml:space="preserve">                                                                                                                            </w:t>
      </w:r>
      <w:r>
        <w:rPr>
          <w:rFonts w:ascii="Times New Roman" w:hAnsi="Times New Roman"/>
          <w:sz w:val="24"/>
          <w:szCs w:val="24"/>
        </w:rPr>
        <w:t>(наименование документа)</w:t>
      </w:r>
    </w:p>
    <w:p>
      <w:pPr>
        <w:pStyle w:val="Normal"/>
        <w:bidi w:val="0"/>
        <w:spacing w:before="0" w:after="0"/>
        <w:ind w:left="2124" w:right="195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 xml:space="preserve">Гарантируется исправность изделия в эксплуатации в течение </w:t>
      </w:r>
      <w:r>
        <w:rPr>
          <w:rFonts w:ascii="Times New Roman" w:hAnsi="Times New Roman"/>
          <w:i/>
          <w:sz w:val="24"/>
          <w:szCs w:val="24"/>
        </w:rPr>
        <w:t xml:space="preserve">24 месяцев со дня ввода в эксплуатацию. Гарантийный срок исчисляется со дня ввода в эксплуатацию, но не </w:t>
      </w:r>
      <w:r>
        <w:rPr>
          <w:rFonts w:ascii="Times New Roman" w:hAnsi="Times New Roman"/>
          <w:i/>
          <w:sz w:val="24"/>
          <w:szCs w:val="24"/>
          <w:u w:val="single"/>
        </w:rPr>
        <w:t>позднее 12 месяцев со дня получения потребителем.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i/>
          <w:sz w:val="24"/>
          <w:szCs w:val="24"/>
          <w:u w:val="single"/>
        </w:rPr>
        <w:t xml:space="preserve">________________________________________________________________________                                                                                                                    </w:t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0"/>
          <w:szCs w:val="20"/>
        </w:rPr>
        <w:t>(месяцев, дней, часов, километров пробега и т.д., а также другие гарантийные обязательства)</w:t>
      </w:r>
    </w:p>
    <w:p>
      <w:pPr>
        <w:pStyle w:val="Normal"/>
        <w:bidi w:val="0"/>
        <w:spacing w:before="0" w:after="0"/>
        <w:ind w:left="0" w:right="195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2190" w:right="196" w:hanging="2190"/>
        <w:rPr/>
      </w:pPr>
      <w:r>
        <w:rPr>
          <w:rFonts w:ascii="Times New Roman" w:hAnsi="Times New Roman"/>
          <w:sz w:val="24"/>
          <w:szCs w:val="24"/>
        </w:rPr>
        <w:t>Начальник ОТК</w:t>
        <w:tab/>
        <w:t xml:space="preserve"> изготовителя </w:t>
        <w:tab/>
        <w:tab/>
        <w:tab/>
        <w:tab/>
        <w:tab/>
        <w:t xml:space="preserve">________________                                                              </w:t>
      </w:r>
    </w:p>
    <w:p>
      <w:pPr>
        <w:pStyle w:val="Normal"/>
        <w:bidi w:val="0"/>
        <w:spacing w:before="0" w:after="0"/>
        <w:ind w:left="1418" w:right="196" w:hanging="1418"/>
        <w:rPr/>
      </w:pPr>
      <w:r>
        <w:rPr>
          <w:rFonts w:ascii="Times New Roman" w:hAnsi="Times New Roman"/>
          <w:sz w:val="24"/>
          <w:szCs w:val="24"/>
        </w:rPr>
        <w:t>М.П.</w:t>
        <w:tab/>
        <w:tab/>
        <w:t xml:space="preserve">    </w:t>
        <w:tab/>
        <w:tab/>
        <w:tab/>
        <w:t xml:space="preserve">                                                                                          (подпись)                                                                                    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>(дата получения изделия на складе предприятия-изготовителя)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</w:t>
        <w:tab/>
        <w:tab/>
        <w:tab/>
        <w:tab/>
        <w:t>________________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(Ф.И.О., должность)</w:t>
        <w:tab/>
        <w:tab/>
        <w:tab/>
        <w:tab/>
        <w:tab/>
        <w:tab/>
        <w:t>                (подпись)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М.П.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>(дата продажи (поставки) изделия продавцом (поставщиком))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</w:t>
        <w:tab/>
        <w:tab/>
        <w:tab/>
        <w:tab/>
        <w:t>________________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(Ф.И.О., должность)</w:t>
        <w:tab/>
        <w:tab/>
        <w:tab/>
        <w:tab/>
        <w:tab/>
        <w:tab/>
        <w:t>                (подпись)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М.П.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>(дата продажи (поставки) изделия продавцом (поставщиком))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</w:t>
        <w:tab/>
        <w:tab/>
        <w:tab/>
        <w:tab/>
        <w:t>________________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(Ф.И.О., должность)</w:t>
        <w:tab/>
        <w:tab/>
        <w:tab/>
        <w:tab/>
        <w:tab/>
        <w:tab/>
        <w:t>                (подпись)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М.П.</w:t>
      </w:r>
    </w:p>
    <w:p>
      <w:pPr>
        <w:pStyle w:val="Normal"/>
        <w:bidi w:val="0"/>
        <w:spacing w:before="0" w:after="0"/>
        <w:ind w:left="0" w:right="195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>
      <w:pPr>
        <w:pStyle w:val="Normal"/>
        <w:bidi w:val="0"/>
        <w:spacing w:before="0" w:after="0"/>
        <w:ind w:left="0" w:right="195" w:hanging="0"/>
        <w:jc w:val="center"/>
        <w:rPr/>
      </w:pPr>
      <w:r>
        <w:rPr>
          <w:rFonts w:ascii="Times New Roman" w:hAnsi="Times New Roman"/>
          <w:sz w:val="24"/>
          <w:szCs w:val="24"/>
        </w:rPr>
        <w:t>(дата ввода изделия в эксплуатацию)</w:t>
      </w:r>
    </w:p>
    <w:p>
      <w:pPr>
        <w:pStyle w:val="Normal"/>
        <w:bidi w:val="0"/>
        <w:spacing w:before="0" w:after="0"/>
        <w:ind w:left="0" w:right="195" w:hanging="0"/>
        <w:rPr/>
      </w:pPr>
      <w:r>
        <w:rPr>
          <w:rFonts w:ascii="Times New Roman" w:hAnsi="Times New Roman"/>
          <w:sz w:val="24"/>
          <w:szCs w:val="24"/>
        </w:rPr>
        <w:t>_________________________________________</w:t>
        <w:tab/>
        <w:tab/>
        <w:tab/>
        <w:tab/>
        <w:t>________________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(Ф.И.О., должность)</w:t>
        <w:tab/>
        <w:tab/>
        <w:tab/>
        <w:tab/>
        <w:tab/>
        <w:tab/>
        <w:t>                (подпись)</w:t>
      </w:r>
    </w:p>
    <w:p>
      <w:pPr>
        <w:pStyle w:val="Normal"/>
        <w:bidi w:val="0"/>
        <w:spacing w:before="0" w:after="0"/>
        <w:ind w:left="708" w:right="195" w:firstLine="708"/>
        <w:rPr/>
      </w:pPr>
      <w:r>
        <w:rPr>
          <w:rFonts w:ascii="Times New Roman" w:hAnsi="Times New Roman"/>
          <w:sz w:val="24"/>
          <w:szCs w:val="24"/>
        </w:rPr>
        <w:t>М.П.</w:t>
      </w:r>
    </w:p>
    <w:p>
      <w:pPr>
        <w:pStyle w:val="Style20"/>
        <w:bidi w:val="0"/>
        <w:spacing w:lineRule="auto" w:line="360"/>
        <w:ind w:left="0" w:right="0" w:firstLine="720"/>
        <w:jc w:val="left"/>
        <w:rPr/>
      </w:pPr>
      <w:r>
        <w:rPr>
          <w:sz w:val="24"/>
          <w:szCs w:val="24"/>
        </w:rPr>
        <w:t>ОТМЕТКА ОБ ИЗУЧЕНИИ РУКОВОДСТВА ПО ЭКСПЛУАТАЦИИ</w:t>
      </w:r>
    </w:p>
    <w:tbl>
      <w:tblPr>
        <w:tblW w:w="9575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0"/>
        <w:gridCol w:w="4129"/>
        <w:gridCol w:w="1557"/>
        <w:gridCol w:w="1348"/>
      </w:tblGrid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360"/>
              <w:ind w:left="0" w:right="0" w:hanging="0"/>
              <w:jc w:val="center"/>
              <w:rPr/>
            </w:pPr>
            <w:r>
              <w:rPr>
                <w:sz w:val="24"/>
                <w:szCs w:val="24"/>
              </w:rPr>
              <w:t>Должность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360"/>
              <w:ind w:left="0" w:right="0" w:hanging="0"/>
              <w:jc w:val="center"/>
              <w:rPr/>
            </w:pPr>
            <w:r>
              <w:rPr>
                <w:sz w:val="24"/>
                <w:szCs w:val="24"/>
              </w:rPr>
              <w:t>(профессия)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360"/>
              <w:ind w:left="0" w:right="0" w:hanging="0"/>
              <w:jc w:val="center"/>
              <w:rPr/>
            </w:pPr>
            <w:r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360"/>
              <w:ind w:left="0" w:right="0" w:hanging="0"/>
              <w:jc w:val="center"/>
              <w:rPr/>
            </w:pPr>
            <w:r>
              <w:rPr>
                <w:sz w:val="24"/>
                <w:szCs w:val="24"/>
              </w:rPr>
              <w:t>Подпись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360"/>
              <w:ind w:left="0" w:right="0" w:hanging="0"/>
              <w:jc w:val="center"/>
              <w:rPr/>
            </w:pPr>
            <w:r>
              <w:rPr>
                <w:sz w:val="24"/>
                <w:szCs w:val="24"/>
              </w:rPr>
              <w:t>Дата</w:t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lineRule="auto" w:line="36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bidi w:val="0"/>
        <w:spacing w:before="0" w:after="0"/>
        <w:ind w:left="708" w:right="195" w:firstLine="708"/>
        <w:rPr/>
      </w:pPr>
      <w:r>
        <w:rPr/>
      </w:r>
    </w:p>
    <w:sectPr>
      <w:footerReference w:type="default" r:id="rId21"/>
      <w:type w:val="nextPage"/>
      <w:pgSz w:w="11906" w:h="16838"/>
      <w:pgMar w:left="1700" w:right="850" w:gutter="0" w:header="0" w:top="1135" w:footer="283" w:bottom="709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spacing w:lineRule="auto" w:line="276"/>
      <w:ind w:left="0" w:right="0" w:hanging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Style23"/>
      <w:bidi w:val="0"/>
      <w:spacing w:lineRule="auto" w:line="276" w:before="0" w:after="200"/>
      <w:ind w:left="0" w:right="0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spacing w:lineRule="auto" w:line="276"/>
      <w:ind w:left="0" w:right="0" w:hanging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17</w:t>
    </w:r>
    <w:r>
      <w:rPr/>
      <w:fldChar w:fldCharType="end"/>
    </w:r>
  </w:p>
  <w:p>
    <w:pPr>
      <w:pStyle w:val="Style23"/>
      <w:bidi w:val="0"/>
      <w:spacing w:lineRule="auto" w:line="276" w:before="0" w:after="200"/>
      <w:ind w:left="0" w:right="0" w:hanging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spacing w:lineRule="auto" w:line="276"/>
      <w:ind w:left="0" w:right="0" w:hanging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22</w:t>
    </w:r>
    <w:r>
      <w:rPr/>
      <w:fldChar w:fldCharType="end"/>
    </w:r>
  </w:p>
  <w:p>
    <w:pPr>
      <w:pStyle w:val="Style23"/>
      <w:bidi w:val="0"/>
      <w:spacing w:lineRule="auto" w:line="276" w:before="0" w:after="200"/>
      <w:ind w:left="0" w:right="0" w:hanging="0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spacing w:lineRule="auto" w:line="276"/>
      <w:ind w:left="0" w:right="0" w:hanging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24</w:t>
    </w:r>
    <w:r>
      <w:rPr/>
      <w:fldChar w:fldCharType="end"/>
    </w:r>
  </w:p>
  <w:p>
    <w:pPr>
      <w:pStyle w:val="Style23"/>
      <w:bidi w:val="0"/>
      <w:spacing w:lineRule="auto" w:line="276" w:before="0" w:after="200"/>
      <w:ind w:left="0" w:right="0" w:hanging="0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spacing w:lineRule="auto" w:line="276"/>
      <w:ind w:left="0" w:right="0" w:hanging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28</w:t>
    </w:r>
    <w:r>
      <w:rPr/>
      <w:fldChar w:fldCharType="end"/>
    </w:r>
  </w:p>
  <w:p>
    <w:pPr>
      <w:pStyle w:val="Style23"/>
      <w:bidi w:val="0"/>
      <w:spacing w:lineRule="auto" w:line="276" w:before="0" w:after="200"/>
      <w:ind w:left="0" w:right="0" w:hanging="0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spacing w:lineRule="auto" w:line="276"/>
      <w:ind w:left="0" w:right="0" w:hanging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31</w:t>
    </w:r>
    <w:r>
      <w:rPr/>
      <w:fldChar w:fldCharType="end"/>
    </w:r>
  </w:p>
  <w:p>
    <w:pPr>
      <w:pStyle w:val="Style23"/>
      <w:bidi w:val="0"/>
      <w:spacing w:lineRule="auto" w:line="276" w:before="0" w:after="200"/>
      <w:ind w:left="0" w:right="0" w:hanging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15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Times New Roman"/>
      <w:color w:val="auto"/>
      <w:kern w:val="2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spacing w:lineRule="auto" w:line="240" w:before="0" w:after="0"/>
      <w:jc w:val="center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Normal"/>
    <w:next w:val="Normal"/>
    <w:qFormat/>
    <w:pPr>
      <w:keepNext w:val="true"/>
      <w:spacing w:lineRule="exact" w:line="360" w:before="0" w:after="0"/>
      <w:jc w:val="both"/>
      <w:outlineLvl w:val="1"/>
    </w:pPr>
    <w:rPr>
      <w:rFonts w:ascii="Times New Roman" w:hAnsi="Times New Roman"/>
      <w:sz w:val="28"/>
      <w:szCs w:val="20"/>
    </w:rPr>
  </w:style>
  <w:style w:type="paragraph" w:styleId="3">
    <w:name w:val="Heading 3"/>
    <w:basedOn w:val="Normal"/>
    <w:next w:val="Normal"/>
    <w:qFormat/>
    <w:pPr>
      <w:keepNext w:val="true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styleId="DefaultParagraphFont">
    <w:name w:val="Default Paragraph Font"/>
    <w:qFormat/>
    <w:rPr/>
  </w:style>
  <w:style w:type="character" w:styleId="11">
    <w:name w:val="Заголовок 1 Знак"/>
    <w:basedOn w:val="DefaultParagraphFont"/>
    <w:qFormat/>
    <w:rPr>
      <w:rFonts w:ascii="Times New Roman" w:hAnsi="Times New Roman"/>
      <w:sz w:val="20"/>
      <w:szCs w:val="20"/>
    </w:rPr>
  </w:style>
  <w:style w:type="character" w:styleId="21">
    <w:name w:val="Заголовок 2 Знак"/>
    <w:basedOn w:val="DefaultParagraphFont"/>
    <w:qFormat/>
    <w:rPr>
      <w:rFonts w:ascii="Times New Roman" w:hAnsi="Times New Roman"/>
      <w:sz w:val="20"/>
      <w:szCs w:val="20"/>
    </w:rPr>
  </w:style>
  <w:style w:type="character" w:styleId="31">
    <w:name w:val="Заголовок 3 Знак"/>
    <w:basedOn w:val="DefaultParagraphFont"/>
    <w:qFormat/>
    <w:rPr>
      <w:rFonts w:ascii="Cambria" w:hAnsi="Cambria"/>
      <w:b/>
      <w:bCs/>
      <w:sz w:val="26"/>
      <w:szCs w:val="26"/>
    </w:rPr>
  </w:style>
  <w:style w:type="character" w:styleId="Style11">
    <w:name w:val="Основной текст с отступом Знак"/>
    <w:basedOn w:val="DefaultParagraphFont"/>
    <w:qFormat/>
    <w:rPr>
      <w:rFonts w:ascii="Times New Roman" w:hAnsi="Times New Roman"/>
      <w:sz w:val="20"/>
      <w:szCs w:val="20"/>
    </w:rPr>
  </w:style>
  <w:style w:type="character" w:styleId="Style12">
    <w:name w:val="Текст выноски Знак"/>
    <w:basedOn w:val="DefaultParagraphFont"/>
    <w:qFormat/>
    <w:rPr>
      <w:rFonts w:ascii="Tahoma" w:hAnsi="Tahoma" w:eastAsia="Times New Roman" w:cs="Tahoma"/>
      <w:sz w:val="16"/>
      <w:szCs w:val="16"/>
    </w:rPr>
  </w:style>
  <w:style w:type="character" w:styleId="22">
    <w:name w:val="Основной текст с отступом 2 Знак"/>
    <w:basedOn w:val="DefaultParagraphFont"/>
    <w:qFormat/>
    <w:rPr>
      <w:rFonts w:eastAsia="Times New Roman"/>
      <w:sz w:val="24"/>
      <w:szCs w:val="24"/>
    </w:rPr>
  </w:style>
  <w:style w:type="character" w:styleId="Style13">
    <w:name w:val="Верхний колонтитул Знак"/>
    <w:basedOn w:val="DefaultParagraphFont"/>
    <w:qFormat/>
    <w:rPr>
      <w:rFonts w:eastAsia="Times New Roman"/>
      <w:sz w:val="24"/>
      <w:szCs w:val="24"/>
    </w:rPr>
  </w:style>
  <w:style w:type="character" w:styleId="Style14">
    <w:name w:val="Нижний колонтитул Знак"/>
    <w:basedOn w:val="DefaultParagraphFont"/>
    <w:qFormat/>
    <w:rPr>
      <w:rFonts w:eastAsia="Times New Roman"/>
      <w:sz w:val="24"/>
      <w:szCs w:val="24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NormalTable">
    <w:name w:val="Normal Table"/>
    <w:qFormat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Times New Roman"/>
      <w:color w:val="auto"/>
      <w:kern w:val="2"/>
      <w:sz w:val="22"/>
      <w:szCs w:val="22"/>
      <w:lang w:val="ru-RU" w:eastAsia="ru-RU" w:bidi="ar-SA"/>
    </w:rPr>
  </w:style>
  <w:style w:type="paragraph" w:styleId="Style20">
    <w:name w:val="Body Text Indent"/>
    <w:basedOn w:val="Normal"/>
    <w:pPr>
      <w:spacing w:lineRule="exact" w:line="360" w:before="0" w:after="0"/>
      <w:ind w:firstLine="567"/>
      <w:jc w:val="both"/>
    </w:pPr>
    <w:rPr>
      <w:rFonts w:ascii="Times New Roman" w:hAnsi="Times New Roman"/>
      <w:sz w:val="28"/>
      <w:szCs w:val="20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qFormat/>
    <w:pPr>
      <w:spacing w:lineRule="exact" w:line="480" w:before="0" w:after="120"/>
      <w:ind w:left="283" w:hanging="0"/>
    </w:pPr>
    <w:rPr/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4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png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14.jpeg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LibreOffice/7.3.7.2$Linux_X86_64 LibreOffice_project/30$Build-2</Application>
  <AppVersion>15.0000</AppVersion>
  <Pages>34</Pages>
  <Words>4854</Words>
  <Characters>32317</Characters>
  <CharactersWithSpaces>37291</CharactersWithSpaces>
  <Paragraphs>703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2012-07-18T15:15:00Z</dcterms:created>
  <dc:creator>aav</dc:creator>
  <dc:description/>
  <dc:language>ru-RU</dc:language>
  <cp:lastModifiedBy/>
  <cp:lastPrinted>2013-10-25T13:04:00Z</cp:lastPrinted>
  <dcterms:modified xsi:type="dcterms:W3CDTF">2022-04-26T11:54:00Z</dcterms:modified>
  <cp:revision>502</cp:revision>
  <dc:subject/>
  <dc:title>Руководство MILLENIUM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Дмитрий</vt:lpwstr>
  </property>
</Properties>
</file>